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407422">
        <w:rPr>
          <w:color w:val="FF0000"/>
          <w:sz w:val="28"/>
          <w:szCs w:val="28"/>
        </w:rPr>
        <w:t>1</w:t>
      </w:r>
      <w:r w:rsidRPr="003D5E50">
        <w:rPr>
          <w:rFonts w:hint="eastAsia"/>
          <w:color w:val="FF0000"/>
          <w:sz w:val="28"/>
          <w:szCs w:val="28"/>
        </w:rPr>
        <w:t>月</w:t>
      </w:r>
      <w:r w:rsidR="00407422">
        <w:rPr>
          <w:rFonts w:hint="eastAsia"/>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Default="00331027" w:rsidP="00331027">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045B6B" w:rsidRPr="00045B6B" w:rsidRDefault="00045B6B" w:rsidP="00045B6B">
      <w:pPr>
        <w:spacing w:line="52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（4）投标单位投标报名人，必须是法人或公司正式员工，若是公司员工提交投标文件，则必须提供相应社保证明材料</w:t>
      </w:r>
      <w:r w:rsidRPr="00045B6B">
        <w:rPr>
          <w:rFonts w:asciiTheme="minorEastAsia" w:eastAsiaTheme="minorEastAsia" w:hAnsiTheme="minorEastAsia" w:cs="宋体" w:hint="eastAsia"/>
          <w:kern w:val="0"/>
          <w:sz w:val="28"/>
          <w:szCs w:val="28"/>
          <w:highlight w:val="yellow"/>
        </w:rPr>
        <w:t>原件。</w:t>
      </w:r>
    </w:p>
    <w:p w:rsidR="00045B6B" w:rsidRPr="00045B6B" w:rsidRDefault="00045B6B" w:rsidP="00331027">
      <w:pPr>
        <w:pStyle w:val="a5"/>
        <w:shd w:val="clear" w:color="auto" w:fill="FFFFFF"/>
        <w:spacing w:before="0" w:beforeAutospacing="0" w:after="0" w:afterAutospacing="0"/>
        <w:ind w:firstLine="465"/>
        <w:rPr>
          <w:rFonts w:cs="Times New Roman"/>
          <w:sz w:val="28"/>
          <w:szCs w:val="28"/>
        </w:rPr>
      </w:pP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lastRenderedPageBreak/>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所有岗位人员需严格遵照工作流程操作，自检员切实抓好工程质量，</w:t>
      </w:r>
      <w:r w:rsidRPr="00186D2F">
        <w:rPr>
          <w:rFonts w:ascii="宋体" w:hAnsi="宋体" w:cs="宋体" w:hint="eastAsia"/>
          <w:sz w:val="28"/>
          <w:szCs w:val="28"/>
        </w:rPr>
        <w:lastRenderedPageBreak/>
        <w:t>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w:t>
            </w:r>
            <w:r w:rsidRPr="00106EDE">
              <w:rPr>
                <w:rFonts w:ascii="宋体" w:hAnsi="宋体" w:hint="eastAsia"/>
                <w:sz w:val="24"/>
              </w:rPr>
              <w:lastRenderedPageBreak/>
              <w:t>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w:t>
            </w:r>
            <w:bookmarkStart w:id="0" w:name="_GoBack"/>
            <w:bookmarkEnd w:id="0"/>
            <w:r w:rsidRPr="008A1747">
              <w:rPr>
                <w:rFonts w:ascii="宋体" w:hAnsi="宋体" w:hint="eastAsia"/>
                <w:sz w:val="24"/>
                <w:szCs w:val="24"/>
              </w:rPr>
              <w:t>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4B" w:rsidRDefault="0048394B" w:rsidP="00D3588F">
      <w:pPr>
        <w:rPr>
          <w:rFonts w:cs="Times New Roman"/>
        </w:rPr>
      </w:pPr>
      <w:r>
        <w:rPr>
          <w:rFonts w:cs="Times New Roman"/>
        </w:rPr>
        <w:separator/>
      </w:r>
    </w:p>
  </w:endnote>
  <w:endnote w:type="continuationSeparator" w:id="0">
    <w:p w:rsidR="0048394B" w:rsidRDefault="0048394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4B" w:rsidRDefault="0048394B" w:rsidP="00D3588F">
      <w:pPr>
        <w:rPr>
          <w:rFonts w:cs="Times New Roman"/>
        </w:rPr>
      </w:pPr>
      <w:r>
        <w:rPr>
          <w:rFonts w:cs="Times New Roman"/>
        </w:rPr>
        <w:separator/>
      </w:r>
    </w:p>
  </w:footnote>
  <w:footnote w:type="continuationSeparator" w:id="0">
    <w:p w:rsidR="0048394B" w:rsidRDefault="0048394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07422"/>
    <w:rsid w:val="00412907"/>
    <w:rsid w:val="00421514"/>
    <w:rsid w:val="00424AFD"/>
    <w:rsid w:val="004303FC"/>
    <w:rsid w:val="00431633"/>
    <w:rsid w:val="00440AB7"/>
    <w:rsid w:val="00446638"/>
    <w:rsid w:val="00453CDC"/>
    <w:rsid w:val="00474384"/>
    <w:rsid w:val="0048394B"/>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B53C-C636-4B16-9011-78CF76C4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14</Pages>
  <Words>911</Words>
  <Characters>5193</Characters>
  <Application>Microsoft Office Word</Application>
  <DocSecurity>0</DocSecurity>
  <Lines>43</Lines>
  <Paragraphs>12</Paragraphs>
  <ScaleCrop>false</ScaleCrop>
  <Company>Microsoft</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2020-12-16T00:09:00Z</dcterms:created>
  <dcterms:modified xsi:type="dcterms:W3CDTF">2021-01-04T08:42:00Z</dcterms:modified>
</cp:coreProperties>
</file>