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w:t>
      </w:r>
      <w:r w:rsidRPr="009207A5">
        <w:rPr>
          <w:rFonts w:hint="eastAsia"/>
          <w:sz w:val="28"/>
          <w:szCs w:val="28"/>
        </w:rPr>
        <w:t>人民医院对</w:t>
      </w:r>
      <w:r w:rsidR="0018208F" w:rsidRPr="009207A5">
        <w:rPr>
          <w:rFonts w:hint="eastAsia"/>
          <w:bCs/>
          <w:color w:val="000000"/>
          <w:sz w:val="28"/>
          <w:szCs w:val="28"/>
        </w:rPr>
        <w:t>新增备用换热站</w:t>
      </w:r>
      <w:r w:rsidRPr="009207A5">
        <w:rPr>
          <w:rFonts w:hint="eastAsia"/>
          <w:color w:val="000000"/>
          <w:sz w:val="28"/>
          <w:szCs w:val="28"/>
        </w:rPr>
        <w:t>项目</w:t>
      </w:r>
      <w:r w:rsidRPr="009207A5">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9207A5">
        <w:rPr>
          <w:color w:val="000000"/>
          <w:sz w:val="28"/>
          <w:szCs w:val="28"/>
        </w:rPr>
        <w:t>2</w:t>
      </w:r>
      <w:r w:rsidR="009207A5">
        <w:rPr>
          <w:rFonts w:hint="eastAsia"/>
          <w:color w:val="000000"/>
          <w:sz w:val="28"/>
          <w:szCs w:val="28"/>
        </w:rPr>
        <w:t>1</w:t>
      </w:r>
      <w:r w:rsidRPr="00331027">
        <w:rPr>
          <w:color w:val="000000"/>
          <w:sz w:val="28"/>
          <w:szCs w:val="28"/>
        </w:rPr>
        <w:t>-</w:t>
      </w:r>
      <w:r w:rsidR="00A8177F">
        <w:rPr>
          <w:color w:val="000000"/>
          <w:sz w:val="28"/>
          <w:szCs w:val="28"/>
        </w:rPr>
        <w:t>16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w:t>
      </w:r>
      <w:r w:rsidRPr="009207A5">
        <w:rPr>
          <w:rFonts w:hint="eastAsia"/>
          <w:sz w:val="28"/>
          <w:szCs w:val="28"/>
        </w:rPr>
        <w:t>宜昌市中心人民医</w:t>
      </w:r>
      <w:r w:rsidRPr="009207A5">
        <w:rPr>
          <w:rFonts w:hint="eastAsia"/>
          <w:color w:val="000000"/>
          <w:sz w:val="28"/>
          <w:szCs w:val="28"/>
        </w:rPr>
        <w:t>院</w:t>
      </w:r>
      <w:r w:rsidR="0018208F" w:rsidRPr="009207A5">
        <w:rPr>
          <w:rFonts w:hint="eastAsia"/>
          <w:bCs/>
          <w:color w:val="000000"/>
          <w:sz w:val="28"/>
          <w:szCs w:val="28"/>
        </w:rPr>
        <w:t>新增备用换热站</w:t>
      </w:r>
      <w:r w:rsidRPr="009207A5">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9207A5">
        <w:rPr>
          <w:color w:val="FF0000"/>
          <w:sz w:val="28"/>
          <w:szCs w:val="28"/>
        </w:rPr>
        <w:t>2</w:t>
      </w:r>
      <w:r w:rsidR="009207A5">
        <w:rPr>
          <w:rFonts w:hint="eastAsia"/>
          <w:color w:val="FF0000"/>
          <w:sz w:val="28"/>
          <w:szCs w:val="28"/>
        </w:rPr>
        <w:t>1</w:t>
      </w:r>
      <w:r w:rsidRPr="003D5E50">
        <w:rPr>
          <w:rFonts w:hint="eastAsia"/>
          <w:color w:val="FF0000"/>
          <w:sz w:val="28"/>
          <w:szCs w:val="28"/>
        </w:rPr>
        <w:t>年</w:t>
      </w:r>
      <w:r w:rsidR="00A8177F">
        <w:rPr>
          <w:color w:val="FF0000"/>
          <w:sz w:val="28"/>
          <w:szCs w:val="28"/>
        </w:rPr>
        <w:t>4</w:t>
      </w:r>
      <w:r w:rsidRPr="003D5E50">
        <w:rPr>
          <w:rFonts w:hint="eastAsia"/>
          <w:color w:val="FF0000"/>
          <w:sz w:val="28"/>
          <w:szCs w:val="28"/>
        </w:rPr>
        <w:t>月</w:t>
      </w:r>
      <w:r w:rsidR="00A8177F">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207A5" w:rsidRPr="003D5E50" w:rsidRDefault="00331027" w:rsidP="009207A5">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207A5">
        <w:rPr>
          <w:rFonts w:hint="eastAsia"/>
          <w:sz w:val="28"/>
          <w:szCs w:val="28"/>
        </w:rPr>
        <w:t>胡老师</w:t>
      </w:r>
      <w:r w:rsidR="009207A5">
        <w:rPr>
          <w:sz w:val="28"/>
          <w:szCs w:val="28"/>
        </w:rPr>
        <w:t>/</w:t>
      </w:r>
      <w:r w:rsidR="009207A5" w:rsidRPr="003D5E50">
        <w:rPr>
          <w:rFonts w:hint="eastAsia"/>
          <w:sz w:val="28"/>
          <w:szCs w:val="28"/>
        </w:rPr>
        <w:t>周老师</w:t>
      </w:r>
    </w:p>
    <w:p w:rsidR="00331027" w:rsidRPr="00331027" w:rsidRDefault="009207A5" w:rsidP="009207A5">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B24BDB">
      <w:pPr>
        <w:spacing w:line="500" w:lineRule="exact"/>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bookmarkStart w:id="0" w:name="_GoBack"/>
      <w:bookmarkEnd w:id="0"/>
    </w:p>
    <w:p w:rsidR="00162024" w:rsidRDefault="00162024" w:rsidP="00B24BDB">
      <w:pPr>
        <w:spacing w:line="500" w:lineRule="exact"/>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EC70D3">
        <w:rPr>
          <w:rFonts w:ascii="宋体" w:hAnsi="宋体" w:cs="宋体"/>
          <w:sz w:val="28"/>
          <w:szCs w:val="28"/>
        </w:rPr>
        <w:t>2</w:t>
      </w:r>
      <w:r w:rsidR="00EC70D3">
        <w:rPr>
          <w:rFonts w:ascii="宋体" w:hAnsi="宋体" w:cs="宋体" w:hint="eastAsia"/>
          <w:sz w:val="28"/>
          <w:szCs w:val="28"/>
        </w:rPr>
        <w:t>1</w:t>
      </w:r>
      <w:r w:rsidR="007418F7">
        <w:rPr>
          <w:rFonts w:ascii="宋体" w:hAnsi="宋体" w:cs="宋体"/>
          <w:sz w:val="28"/>
          <w:szCs w:val="28"/>
        </w:rPr>
        <w:t>-</w:t>
      </w:r>
      <w:r w:rsidR="00A8177F">
        <w:rPr>
          <w:rFonts w:ascii="宋体" w:hAnsi="宋体" w:cs="宋体"/>
          <w:sz w:val="28"/>
          <w:szCs w:val="28"/>
        </w:rPr>
        <w:t>16</w:t>
      </w:r>
    </w:p>
    <w:p w:rsidR="009207A5" w:rsidRDefault="00162024" w:rsidP="00B24BDB">
      <w:pPr>
        <w:spacing w:line="500" w:lineRule="exact"/>
        <w:ind w:firstLineChars="200" w:firstLine="560"/>
        <w:rPr>
          <w:color w:val="000000"/>
          <w:sz w:val="28"/>
          <w:szCs w:val="28"/>
        </w:rPr>
      </w:pPr>
      <w:r>
        <w:rPr>
          <w:rFonts w:ascii="宋体" w:hAnsi="宋体" w:cs="宋体"/>
          <w:sz w:val="28"/>
          <w:szCs w:val="28"/>
        </w:rPr>
        <w:t>2</w:t>
      </w:r>
      <w:r>
        <w:rPr>
          <w:rFonts w:ascii="宋体" w:hAnsi="宋体" w:cs="宋体" w:hint="eastAsia"/>
          <w:sz w:val="28"/>
          <w:szCs w:val="28"/>
        </w:rPr>
        <w:t>、项目名称：宜昌市中心人民医院</w:t>
      </w:r>
      <w:r w:rsidR="009207A5" w:rsidRPr="009207A5">
        <w:rPr>
          <w:rFonts w:hint="eastAsia"/>
          <w:bCs/>
          <w:color w:val="000000"/>
          <w:sz w:val="28"/>
          <w:szCs w:val="28"/>
        </w:rPr>
        <w:t>新增备用换热站</w:t>
      </w:r>
      <w:r w:rsidR="009207A5" w:rsidRPr="009207A5">
        <w:rPr>
          <w:rFonts w:hint="eastAsia"/>
          <w:color w:val="000000"/>
          <w:sz w:val="28"/>
          <w:szCs w:val="28"/>
        </w:rPr>
        <w:t>项目</w:t>
      </w:r>
    </w:p>
    <w:p w:rsidR="007645D1" w:rsidRPr="00116FC5" w:rsidRDefault="00162024" w:rsidP="00B24BDB">
      <w:pPr>
        <w:spacing w:line="500" w:lineRule="exact"/>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207A5" w:rsidRPr="00A8177F">
        <w:rPr>
          <w:rFonts w:ascii="宋体" w:hAnsi="宋体" w:cs="宋体" w:hint="eastAsia"/>
          <w:kern w:val="0"/>
          <w:sz w:val="28"/>
          <w:szCs w:val="28"/>
        </w:rPr>
        <w:t>13万</w:t>
      </w:r>
      <w:r w:rsidRPr="00A8177F">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B24BD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B24BDB">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B24BD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B24BDB" w:rsidRPr="00092836" w:rsidRDefault="009207A5" w:rsidP="00B24BDB">
      <w:pPr>
        <w:spacing w:line="500" w:lineRule="exact"/>
        <w:ind w:firstLineChars="200" w:firstLine="560"/>
        <w:rPr>
          <w:rFonts w:ascii="宋体" w:hAnsi="宋体"/>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w:t>
      </w:r>
      <w:r w:rsidR="00B24BDB" w:rsidRPr="00092836">
        <w:rPr>
          <w:rFonts w:ascii="宋体" w:hAnsi="宋体" w:cs="宋体" w:hint="eastAsia"/>
          <w:kern w:val="0"/>
          <w:sz w:val="28"/>
          <w:szCs w:val="28"/>
        </w:rPr>
        <w:t>资质要求：</w:t>
      </w:r>
      <w:r w:rsidR="00B24BDB" w:rsidRPr="00092836">
        <w:rPr>
          <w:rFonts w:ascii="宋体" w:hAnsi="宋体" w:hint="eastAsia"/>
          <w:sz w:val="28"/>
          <w:szCs w:val="28"/>
        </w:rPr>
        <w:t>具备建设行政主管部门颁发的建筑机电安装工程专业承包三级及以上资质证书；</w:t>
      </w:r>
    </w:p>
    <w:p w:rsidR="00162024" w:rsidRDefault="00B24BDB" w:rsidP="00B24BD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B24B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Pr="009207A5" w:rsidRDefault="00DF328A" w:rsidP="00B24BDB">
      <w:pPr>
        <w:widowControl/>
        <w:spacing w:line="500" w:lineRule="exact"/>
        <w:jc w:val="left"/>
        <w:rPr>
          <w:rFonts w:asciiTheme="minorEastAsia" w:eastAsiaTheme="minorEastAsia" w:hAnsiTheme="minorEastAsia" w:cs="宋体"/>
          <w:b/>
          <w:bCs/>
          <w:kern w:val="0"/>
          <w:sz w:val="28"/>
          <w:szCs w:val="28"/>
        </w:rPr>
      </w:pPr>
      <w:r w:rsidRPr="009207A5">
        <w:rPr>
          <w:rFonts w:asciiTheme="minorEastAsia" w:eastAsiaTheme="minorEastAsia" w:hAnsiTheme="minorEastAsia" w:cs="宋体" w:hint="eastAsia"/>
          <w:b/>
          <w:bCs/>
          <w:kern w:val="0"/>
          <w:sz w:val="28"/>
          <w:szCs w:val="28"/>
        </w:rPr>
        <w:t>3.1项目</w:t>
      </w:r>
      <w:r w:rsidRPr="009207A5">
        <w:rPr>
          <w:rFonts w:asciiTheme="minorEastAsia" w:eastAsiaTheme="minorEastAsia" w:hAnsiTheme="minorEastAsia" w:cs="宋体"/>
          <w:b/>
          <w:bCs/>
          <w:kern w:val="0"/>
          <w:sz w:val="28"/>
          <w:szCs w:val="28"/>
        </w:rPr>
        <w:t>概况</w:t>
      </w:r>
    </w:p>
    <w:p w:rsidR="009207A5" w:rsidRDefault="00CE5A6F" w:rsidP="00B24BDB">
      <w:pPr>
        <w:widowControl/>
        <w:spacing w:line="500" w:lineRule="exact"/>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原</w:t>
      </w:r>
      <w:r w:rsidR="009207A5" w:rsidRPr="009207A5">
        <w:rPr>
          <w:rFonts w:asciiTheme="minorEastAsia" w:eastAsiaTheme="minorEastAsia" w:hAnsiTheme="minorEastAsia" w:hint="eastAsia"/>
          <w:color w:val="000000"/>
          <w:sz w:val="28"/>
          <w:szCs w:val="28"/>
        </w:rPr>
        <w:t>门急诊综合大楼中央空调系统板式换热器</w:t>
      </w:r>
      <w:r>
        <w:rPr>
          <w:rFonts w:asciiTheme="minorEastAsia" w:eastAsiaTheme="minorEastAsia" w:hAnsiTheme="minorEastAsia" w:hint="eastAsia"/>
          <w:color w:val="000000"/>
          <w:sz w:val="28"/>
          <w:szCs w:val="28"/>
        </w:rPr>
        <w:t>主要供应</w:t>
      </w:r>
      <w:r w:rsidR="009207A5" w:rsidRPr="009207A5">
        <w:rPr>
          <w:rFonts w:asciiTheme="minorEastAsia" w:eastAsiaTheme="minorEastAsia" w:hAnsiTheme="minorEastAsia" w:hint="eastAsia"/>
          <w:color w:val="000000"/>
          <w:sz w:val="28"/>
          <w:szCs w:val="28"/>
        </w:rPr>
        <w:t>门急诊综合大楼和儿童医学中心大楼，换热负荷非常大，冬季供热存在隐患。</w:t>
      </w:r>
      <w:r>
        <w:rPr>
          <w:rFonts w:asciiTheme="minorEastAsia" w:eastAsiaTheme="minorEastAsia" w:hAnsiTheme="minorEastAsia" w:hint="eastAsia"/>
          <w:color w:val="000000"/>
          <w:sz w:val="28"/>
          <w:szCs w:val="28"/>
        </w:rPr>
        <w:t>现需</w:t>
      </w:r>
      <w:r w:rsidR="009207A5" w:rsidRPr="009207A5">
        <w:rPr>
          <w:rFonts w:asciiTheme="minorEastAsia" w:eastAsiaTheme="minorEastAsia" w:hAnsiTheme="minorEastAsia" w:hint="eastAsia"/>
          <w:color w:val="000000"/>
          <w:sz w:val="28"/>
          <w:szCs w:val="28"/>
        </w:rPr>
        <w:t>增加</w:t>
      </w:r>
      <w:r>
        <w:rPr>
          <w:rFonts w:asciiTheme="minorEastAsia" w:eastAsiaTheme="minorEastAsia" w:hAnsiTheme="minorEastAsia" w:hint="eastAsia"/>
          <w:color w:val="000000"/>
          <w:sz w:val="28"/>
          <w:szCs w:val="28"/>
        </w:rPr>
        <w:t>1</w:t>
      </w:r>
      <w:r w:rsidR="009207A5" w:rsidRPr="009207A5">
        <w:rPr>
          <w:rFonts w:asciiTheme="minorEastAsia" w:eastAsiaTheme="minorEastAsia" w:hAnsiTheme="minorEastAsia" w:hint="eastAsia"/>
          <w:color w:val="000000"/>
          <w:sz w:val="28"/>
          <w:szCs w:val="28"/>
        </w:rPr>
        <w:t>台同型号板式换热器</w:t>
      </w:r>
      <w:r>
        <w:rPr>
          <w:rFonts w:asciiTheme="minorEastAsia" w:eastAsiaTheme="minorEastAsia" w:hAnsiTheme="minorEastAsia" w:hint="eastAsia"/>
          <w:color w:val="000000"/>
          <w:sz w:val="28"/>
          <w:szCs w:val="28"/>
        </w:rPr>
        <w:t>，</w:t>
      </w:r>
      <w:r w:rsidR="009207A5" w:rsidRPr="009207A5">
        <w:rPr>
          <w:rFonts w:asciiTheme="minorEastAsia" w:eastAsiaTheme="minorEastAsia" w:hAnsiTheme="minorEastAsia" w:hint="eastAsia"/>
          <w:color w:val="000000"/>
          <w:sz w:val="28"/>
          <w:szCs w:val="28"/>
        </w:rPr>
        <w:t>并入</w:t>
      </w:r>
      <w:r>
        <w:rPr>
          <w:rFonts w:asciiTheme="minorEastAsia" w:eastAsiaTheme="minorEastAsia" w:hAnsiTheme="minorEastAsia" w:hint="eastAsia"/>
          <w:color w:val="000000"/>
          <w:sz w:val="28"/>
          <w:szCs w:val="28"/>
        </w:rPr>
        <w:t>该</w:t>
      </w:r>
      <w:r w:rsidR="009207A5" w:rsidRPr="009207A5">
        <w:rPr>
          <w:rFonts w:asciiTheme="minorEastAsia" w:eastAsiaTheme="minorEastAsia" w:hAnsiTheme="minorEastAsia" w:hint="eastAsia"/>
          <w:color w:val="000000"/>
          <w:sz w:val="28"/>
          <w:szCs w:val="28"/>
        </w:rPr>
        <w:t>换热系统（含板换、阀门、连接管道及安装）作为备用</w:t>
      </w:r>
      <w:r w:rsidR="009207A5">
        <w:rPr>
          <w:rFonts w:asciiTheme="minorEastAsia" w:eastAsiaTheme="minorEastAsia" w:hAnsiTheme="minorEastAsia" w:hint="eastAsia"/>
          <w:color w:val="000000"/>
          <w:sz w:val="28"/>
          <w:szCs w:val="28"/>
        </w:rPr>
        <w:t>。</w:t>
      </w:r>
    </w:p>
    <w:p w:rsidR="002939B6" w:rsidRDefault="007645D1" w:rsidP="00B24BDB">
      <w:pPr>
        <w:widowControl/>
        <w:spacing w:line="500" w:lineRule="exact"/>
        <w:ind w:firstLineChars="200" w:firstLine="562"/>
        <w:jc w:val="left"/>
        <w:rPr>
          <w:rFonts w:asciiTheme="minorEastAsia" w:eastAsiaTheme="minorEastAsia" w:hAnsiTheme="minorEastAsia" w:cs="宋体"/>
          <w:b/>
          <w:bCs/>
          <w:kern w:val="0"/>
          <w:sz w:val="28"/>
          <w:szCs w:val="28"/>
        </w:rPr>
      </w:pPr>
      <w:r w:rsidRPr="009207A5">
        <w:rPr>
          <w:rFonts w:asciiTheme="minorEastAsia" w:eastAsiaTheme="minorEastAsia" w:hAnsiTheme="minorEastAsia" w:cs="宋体" w:hint="eastAsia"/>
          <w:b/>
          <w:bCs/>
          <w:kern w:val="0"/>
          <w:sz w:val="28"/>
          <w:szCs w:val="28"/>
        </w:rPr>
        <w:t>3</w:t>
      </w:r>
      <w:r w:rsidR="00B26B6F" w:rsidRPr="009207A5">
        <w:rPr>
          <w:rFonts w:asciiTheme="minorEastAsia" w:eastAsiaTheme="minorEastAsia" w:hAnsiTheme="minorEastAsia" w:cs="宋体"/>
          <w:b/>
          <w:bCs/>
          <w:kern w:val="0"/>
          <w:sz w:val="28"/>
          <w:szCs w:val="28"/>
        </w:rPr>
        <w:t>.</w:t>
      </w:r>
      <w:r w:rsidR="00DF328A" w:rsidRPr="009207A5">
        <w:rPr>
          <w:rFonts w:asciiTheme="minorEastAsia" w:eastAsiaTheme="minorEastAsia" w:hAnsiTheme="minorEastAsia" w:cs="宋体"/>
          <w:b/>
          <w:bCs/>
          <w:kern w:val="0"/>
          <w:sz w:val="28"/>
          <w:szCs w:val="28"/>
        </w:rPr>
        <w:t>2</w:t>
      </w:r>
      <w:r w:rsidR="00DF328A" w:rsidRPr="009207A5">
        <w:rPr>
          <w:rFonts w:asciiTheme="minorEastAsia" w:eastAsiaTheme="minorEastAsia" w:hAnsiTheme="minorEastAsia" w:cs="宋体" w:hint="eastAsia"/>
          <w:b/>
          <w:bCs/>
          <w:kern w:val="0"/>
          <w:sz w:val="28"/>
          <w:szCs w:val="28"/>
        </w:rPr>
        <w:t>项目清单、技术、服务要求</w:t>
      </w:r>
      <w:r w:rsidR="007326E7" w:rsidRPr="009207A5">
        <w:rPr>
          <w:rFonts w:asciiTheme="minorEastAsia" w:eastAsiaTheme="minorEastAsia" w:hAnsiTheme="minorEastAsia" w:cs="宋体" w:hint="eastAsia"/>
          <w:b/>
          <w:bCs/>
          <w:kern w:val="0"/>
          <w:sz w:val="28"/>
          <w:szCs w:val="28"/>
        </w:rPr>
        <w:t>：</w:t>
      </w:r>
    </w:p>
    <w:p w:rsidR="00BD47A7" w:rsidRDefault="00BD47A7">
      <w:r>
        <w:br w:type="page"/>
      </w:r>
    </w:p>
    <w:tbl>
      <w:tblPr>
        <w:tblpPr w:leftFromText="180" w:rightFromText="180" w:horzAnchor="margin" w:tblpXSpec="center" w:tblpY="525"/>
        <w:tblW w:w="10440" w:type="dxa"/>
        <w:tblLook w:val="04A0" w:firstRow="1" w:lastRow="0" w:firstColumn="1" w:lastColumn="0" w:noHBand="0" w:noVBand="1"/>
      </w:tblPr>
      <w:tblGrid>
        <w:gridCol w:w="827"/>
        <w:gridCol w:w="1416"/>
        <w:gridCol w:w="1151"/>
        <w:gridCol w:w="2521"/>
        <w:gridCol w:w="1139"/>
        <w:gridCol w:w="992"/>
        <w:gridCol w:w="1276"/>
        <w:gridCol w:w="1118"/>
      </w:tblGrid>
      <w:tr w:rsidR="005C6CBF" w:rsidRPr="005C6CBF" w:rsidTr="005C6CBF">
        <w:trPr>
          <w:trHeight w:val="795"/>
        </w:trPr>
        <w:tc>
          <w:tcPr>
            <w:tcW w:w="10440" w:type="dxa"/>
            <w:gridSpan w:val="8"/>
            <w:tcBorders>
              <w:top w:val="nil"/>
              <w:left w:val="nil"/>
              <w:bottom w:val="nil"/>
              <w:right w:val="nil"/>
            </w:tcBorders>
            <w:shd w:val="clear" w:color="FFFFFF" w:fill="FFFFFF"/>
            <w:vAlign w:val="center"/>
            <w:hideMark/>
          </w:tcPr>
          <w:p w:rsidR="005C6CBF" w:rsidRDefault="005C6CBF" w:rsidP="00BD47A7">
            <w:pPr>
              <w:ind w:firstLineChars="200" w:firstLine="562"/>
              <w:jc w:val="center"/>
              <w:rPr>
                <w:b/>
                <w:color w:val="000000"/>
                <w:sz w:val="28"/>
                <w:szCs w:val="28"/>
              </w:rPr>
            </w:pPr>
            <w:r w:rsidRPr="005C6CBF">
              <w:rPr>
                <w:rFonts w:hint="eastAsia"/>
                <w:b/>
                <w:bCs/>
                <w:color w:val="000000"/>
                <w:sz w:val="28"/>
                <w:szCs w:val="28"/>
              </w:rPr>
              <w:lastRenderedPageBreak/>
              <w:t>新增备用换热站</w:t>
            </w:r>
            <w:r w:rsidRPr="005C6CBF">
              <w:rPr>
                <w:rFonts w:hint="eastAsia"/>
                <w:b/>
                <w:color w:val="000000"/>
                <w:sz w:val="28"/>
                <w:szCs w:val="28"/>
              </w:rPr>
              <w:t>项目工程量清单</w:t>
            </w:r>
          </w:p>
          <w:tbl>
            <w:tblPr>
              <w:tblW w:w="10196" w:type="dxa"/>
              <w:tblLook w:val="04A0" w:firstRow="1" w:lastRow="0" w:firstColumn="1" w:lastColumn="0" w:noHBand="0" w:noVBand="1"/>
            </w:tblPr>
            <w:tblGrid>
              <w:gridCol w:w="1160"/>
              <w:gridCol w:w="4780"/>
              <w:gridCol w:w="4256"/>
            </w:tblGrid>
            <w:tr w:rsidR="00BD47A7" w:rsidRPr="00BD47A7" w:rsidTr="00A0294E">
              <w:trPr>
                <w:trHeight w:val="505"/>
              </w:trPr>
              <w:tc>
                <w:tcPr>
                  <w:tcW w:w="116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序号</w:t>
                  </w:r>
                </w:p>
              </w:tc>
              <w:tc>
                <w:tcPr>
                  <w:tcW w:w="4780" w:type="dxa"/>
                  <w:tcBorders>
                    <w:top w:val="single" w:sz="8"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汇总内容</w:t>
                  </w:r>
                </w:p>
              </w:tc>
              <w:tc>
                <w:tcPr>
                  <w:tcW w:w="4256" w:type="dxa"/>
                  <w:tcBorders>
                    <w:top w:val="single" w:sz="8"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金额:(元)</w:t>
                  </w:r>
                </w:p>
              </w:tc>
            </w:tr>
            <w:tr w:rsidR="00BD47A7" w:rsidRPr="00BD47A7" w:rsidTr="00A0294E">
              <w:trPr>
                <w:trHeight w:val="55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一</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分部分项工程费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1.1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6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1.2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1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二</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措施项目合计</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62"/>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单价措施项目费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539"/>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40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总价措施项目费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1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安全文明施工费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21"/>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其他总价措施费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57"/>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三</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其他项目费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3.1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3.2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493"/>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四</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规费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五</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人工费调整</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27"/>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六</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扣甲供费用</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23"/>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七</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除税工程造价</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八</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销项税</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91"/>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九</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含税工程造价</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39"/>
              </w:trPr>
              <w:tc>
                <w:tcPr>
                  <w:tcW w:w="5940" w:type="dxa"/>
                  <w:gridSpan w:val="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投标报价合计:</w:t>
                  </w:r>
                </w:p>
              </w:tc>
              <w:tc>
                <w:tcPr>
                  <w:tcW w:w="4256" w:type="dxa"/>
                  <w:tcBorders>
                    <w:top w:val="single" w:sz="4" w:space="0" w:color="000000"/>
                    <w:left w:val="nil"/>
                    <w:bottom w:val="single" w:sz="8" w:space="0" w:color="000000"/>
                    <w:right w:val="single" w:sz="4" w:space="0" w:color="000000"/>
                  </w:tcBorders>
                  <w:shd w:val="clear" w:color="FFFFFF" w:fill="FFFFFF"/>
                  <w:vAlign w:val="center"/>
                  <w:hideMark/>
                </w:tcPr>
                <w:p w:rsidR="00BD47A7" w:rsidRPr="00BD47A7" w:rsidRDefault="00BD47A7" w:rsidP="00A8177F">
                  <w:pPr>
                    <w:framePr w:hSpace="180" w:wrap="around" w:hAnchor="margin" w:xAlign="center" w:y="525"/>
                    <w:widowControl/>
                    <w:jc w:val="right"/>
                    <w:rPr>
                      <w:rFonts w:ascii="宋体" w:hAnsi="宋体" w:cs="宋体"/>
                      <w:kern w:val="0"/>
                      <w:sz w:val="20"/>
                      <w:szCs w:val="20"/>
                    </w:rPr>
                  </w:pPr>
                </w:p>
              </w:tc>
            </w:tr>
          </w:tbl>
          <w:p w:rsidR="00BD47A7" w:rsidRDefault="00BD47A7" w:rsidP="00BD47A7">
            <w:pPr>
              <w:ind w:firstLineChars="200" w:firstLine="562"/>
              <w:jc w:val="center"/>
              <w:rPr>
                <w:b/>
                <w:color w:val="000000"/>
                <w:sz w:val="28"/>
                <w:szCs w:val="28"/>
              </w:rPr>
            </w:pPr>
          </w:p>
          <w:p w:rsidR="00BD47A7" w:rsidRDefault="00BD47A7" w:rsidP="00BD47A7">
            <w:pPr>
              <w:ind w:firstLineChars="200" w:firstLine="803"/>
              <w:jc w:val="center"/>
              <w:rPr>
                <w:rFonts w:ascii="宋体" w:hAnsi="宋体" w:cs="宋体"/>
                <w:b/>
                <w:bCs/>
                <w:kern w:val="0"/>
                <w:sz w:val="40"/>
                <w:szCs w:val="40"/>
              </w:rPr>
            </w:pPr>
          </w:p>
          <w:p w:rsidR="00BD47A7" w:rsidRDefault="00BD47A7" w:rsidP="00BD47A7">
            <w:pPr>
              <w:ind w:firstLineChars="200" w:firstLine="803"/>
              <w:jc w:val="center"/>
              <w:rPr>
                <w:rFonts w:ascii="宋体" w:hAnsi="宋体" w:cs="宋体"/>
                <w:b/>
                <w:bCs/>
                <w:kern w:val="0"/>
                <w:sz w:val="40"/>
                <w:szCs w:val="40"/>
              </w:rPr>
            </w:pPr>
          </w:p>
          <w:p w:rsidR="00BD47A7" w:rsidRDefault="00BD47A7" w:rsidP="00BD47A7">
            <w:pPr>
              <w:ind w:firstLineChars="200" w:firstLine="803"/>
              <w:jc w:val="center"/>
              <w:rPr>
                <w:rFonts w:ascii="宋体" w:hAnsi="宋体" w:cs="宋体"/>
                <w:b/>
                <w:bCs/>
                <w:kern w:val="0"/>
                <w:sz w:val="40"/>
                <w:szCs w:val="40"/>
              </w:rPr>
            </w:pPr>
          </w:p>
          <w:p w:rsidR="00BD47A7" w:rsidRPr="005C6CBF" w:rsidRDefault="00BD47A7" w:rsidP="00BD47A7">
            <w:pPr>
              <w:ind w:firstLineChars="200" w:firstLine="803"/>
              <w:jc w:val="center"/>
              <w:rPr>
                <w:rFonts w:ascii="宋体" w:hAnsi="宋体" w:cs="宋体"/>
                <w:b/>
                <w:bCs/>
                <w:kern w:val="0"/>
                <w:sz w:val="40"/>
                <w:szCs w:val="40"/>
              </w:rPr>
            </w:pPr>
          </w:p>
        </w:tc>
      </w:tr>
      <w:tr w:rsidR="005C6CBF" w:rsidRPr="005C6CBF" w:rsidTr="00F338C9">
        <w:trPr>
          <w:trHeight w:val="570"/>
        </w:trPr>
        <w:tc>
          <w:tcPr>
            <w:tcW w:w="827" w:type="dxa"/>
            <w:vMerge w:val="restart"/>
            <w:tcBorders>
              <w:top w:val="single" w:sz="8" w:space="0" w:color="000000"/>
              <w:left w:val="single" w:sz="8" w:space="0" w:color="000000"/>
              <w:bottom w:val="single" w:sz="4" w:space="0" w:color="000000"/>
              <w:right w:val="single" w:sz="4" w:space="0" w:color="000000"/>
            </w:tcBorders>
            <w:vAlign w:val="center"/>
            <w:hideMark/>
          </w:tcPr>
          <w:p w:rsidR="005C6CBF" w:rsidRPr="005C6CBF" w:rsidRDefault="00F338C9" w:rsidP="005C6CBF">
            <w:pPr>
              <w:widowControl/>
              <w:jc w:val="left"/>
              <w:rPr>
                <w:rFonts w:ascii="宋体" w:hAnsi="宋体" w:cs="宋体"/>
                <w:kern w:val="0"/>
                <w:sz w:val="20"/>
                <w:szCs w:val="20"/>
              </w:rPr>
            </w:pPr>
            <w:r w:rsidRPr="005C6CBF">
              <w:rPr>
                <w:rFonts w:ascii="宋体" w:hAnsi="宋体" w:cs="宋体" w:hint="eastAsia"/>
                <w:kern w:val="0"/>
                <w:sz w:val="20"/>
                <w:szCs w:val="20"/>
              </w:rPr>
              <w:lastRenderedPageBreak/>
              <w:t>序号</w:t>
            </w:r>
          </w:p>
        </w:tc>
        <w:tc>
          <w:tcPr>
            <w:tcW w:w="1416" w:type="dxa"/>
            <w:vMerge w:val="restart"/>
            <w:tcBorders>
              <w:top w:val="single" w:sz="8" w:space="0" w:color="000000"/>
              <w:left w:val="single" w:sz="4" w:space="0" w:color="000000"/>
              <w:bottom w:val="single" w:sz="4" w:space="0" w:color="000000"/>
              <w:right w:val="single" w:sz="4" w:space="0" w:color="000000"/>
            </w:tcBorders>
            <w:vAlign w:val="center"/>
            <w:hideMark/>
          </w:tcPr>
          <w:p w:rsidR="005C6CBF" w:rsidRPr="005C6CBF" w:rsidRDefault="00F338C9" w:rsidP="005C6CBF">
            <w:pPr>
              <w:widowControl/>
              <w:jc w:val="left"/>
              <w:rPr>
                <w:rFonts w:ascii="宋体" w:hAnsi="宋体" w:cs="宋体"/>
                <w:kern w:val="0"/>
                <w:sz w:val="20"/>
                <w:szCs w:val="20"/>
              </w:rPr>
            </w:pPr>
            <w:r w:rsidRPr="005C6CBF">
              <w:rPr>
                <w:rFonts w:ascii="宋体" w:hAnsi="宋体" w:cs="宋体" w:hint="eastAsia"/>
                <w:kern w:val="0"/>
                <w:sz w:val="20"/>
                <w:szCs w:val="20"/>
              </w:rPr>
              <w:t>项目编码</w:t>
            </w:r>
          </w:p>
        </w:tc>
        <w:tc>
          <w:tcPr>
            <w:tcW w:w="1151" w:type="dxa"/>
            <w:vMerge w:val="restart"/>
            <w:tcBorders>
              <w:top w:val="single" w:sz="8" w:space="0" w:color="000000"/>
              <w:left w:val="single" w:sz="4" w:space="0" w:color="000000"/>
              <w:bottom w:val="single" w:sz="4" w:space="0" w:color="000000"/>
              <w:right w:val="single" w:sz="4" w:space="0" w:color="000000"/>
            </w:tcBorders>
            <w:vAlign w:val="center"/>
            <w:hideMark/>
          </w:tcPr>
          <w:p w:rsidR="005C6CBF" w:rsidRPr="005C6CBF" w:rsidRDefault="005C6CBF" w:rsidP="005C6CBF">
            <w:pPr>
              <w:widowControl/>
              <w:jc w:val="left"/>
              <w:rPr>
                <w:rFonts w:ascii="宋体" w:hAnsi="宋体" w:cs="宋体"/>
                <w:kern w:val="0"/>
                <w:sz w:val="20"/>
                <w:szCs w:val="20"/>
              </w:rPr>
            </w:pPr>
            <w:r w:rsidRPr="005C6CBF">
              <w:rPr>
                <w:rFonts w:ascii="宋体" w:hAnsi="宋体" w:cs="宋体" w:hint="eastAsia"/>
                <w:kern w:val="0"/>
                <w:sz w:val="20"/>
                <w:szCs w:val="20"/>
              </w:rPr>
              <w:t>整个项目</w:t>
            </w:r>
          </w:p>
        </w:tc>
        <w:tc>
          <w:tcPr>
            <w:tcW w:w="252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项目特征描述</w:t>
            </w:r>
          </w:p>
        </w:tc>
        <w:tc>
          <w:tcPr>
            <w:tcW w:w="113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工程量</w:t>
            </w:r>
          </w:p>
        </w:tc>
        <w:tc>
          <w:tcPr>
            <w:tcW w:w="2394" w:type="dxa"/>
            <w:gridSpan w:val="2"/>
            <w:tcBorders>
              <w:top w:val="single" w:sz="8" w:space="0" w:color="000000"/>
              <w:left w:val="nil"/>
              <w:bottom w:val="single" w:sz="4" w:space="0" w:color="000000"/>
              <w:right w:val="single" w:sz="8"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金额（元）</w:t>
            </w:r>
          </w:p>
        </w:tc>
      </w:tr>
      <w:tr w:rsidR="00F338C9" w:rsidRPr="005C6CBF" w:rsidTr="00F338C9">
        <w:trPr>
          <w:trHeight w:val="587"/>
        </w:trPr>
        <w:tc>
          <w:tcPr>
            <w:tcW w:w="827" w:type="dxa"/>
            <w:vMerge/>
            <w:tcBorders>
              <w:top w:val="single" w:sz="8" w:space="0" w:color="000000"/>
              <w:left w:val="single" w:sz="8"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151"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2521"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139"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338C9" w:rsidRPr="005C6CBF" w:rsidRDefault="00F338C9" w:rsidP="005C6CBF">
            <w:pPr>
              <w:widowControl/>
              <w:jc w:val="center"/>
              <w:rPr>
                <w:rFonts w:ascii="宋体" w:hAnsi="宋体" w:cs="宋体"/>
                <w:kern w:val="0"/>
                <w:sz w:val="20"/>
                <w:szCs w:val="20"/>
              </w:rPr>
            </w:pPr>
            <w:r>
              <w:rPr>
                <w:rFonts w:ascii="宋体" w:hAnsi="宋体" w:cs="宋体" w:hint="eastAsia"/>
                <w:kern w:val="0"/>
                <w:sz w:val="20"/>
                <w:szCs w:val="20"/>
              </w:rPr>
              <w:t>投标</w:t>
            </w:r>
            <w:r w:rsidRPr="005C6CBF">
              <w:rPr>
                <w:rFonts w:ascii="宋体" w:hAnsi="宋体" w:cs="宋体" w:hint="eastAsia"/>
                <w:kern w:val="0"/>
                <w:sz w:val="20"/>
                <w:szCs w:val="20"/>
              </w:rPr>
              <w:t>单价</w:t>
            </w:r>
          </w:p>
        </w:tc>
        <w:tc>
          <w:tcPr>
            <w:tcW w:w="1118" w:type="dxa"/>
            <w:tcBorders>
              <w:top w:val="nil"/>
              <w:left w:val="nil"/>
              <w:bottom w:val="single" w:sz="4" w:space="0" w:color="auto"/>
              <w:right w:val="single" w:sz="8" w:space="0" w:color="000000"/>
            </w:tcBorders>
            <w:shd w:val="clear" w:color="FFFFFF" w:fill="FFFFFF"/>
            <w:vAlign w:val="center"/>
            <w:hideMark/>
          </w:tcPr>
          <w:p w:rsidR="00F338C9" w:rsidRPr="005C6CBF" w:rsidRDefault="00F338C9" w:rsidP="00F338C9">
            <w:pPr>
              <w:widowControl/>
              <w:rPr>
                <w:rFonts w:ascii="宋体" w:hAnsi="宋体" w:cs="宋体"/>
                <w:kern w:val="0"/>
                <w:sz w:val="20"/>
                <w:szCs w:val="20"/>
              </w:rPr>
            </w:pPr>
            <w:r>
              <w:rPr>
                <w:rFonts w:ascii="宋体" w:hAnsi="宋体" w:cs="宋体" w:hint="eastAsia"/>
                <w:kern w:val="0"/>
                <w:sz w:val="20"/>
                <w:szCs w:val="20"/>
              </w:rPr>
              <w:t>投标小计</w:t>
            </w:r>
          </w:p>
        </w:tc>
      </w:tr>
      <w:tr w:rsidR="00EC70D3" w:rsidRPr="005C6CBF" w:rsidTr="00F338C9">
        <w:trPr>
          <w:trHeight w:val="1590"/>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031003003001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焊接法兰阀门</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1.类型:涡轮法兰蝶阀</w:t>
            </w:r>
            <w:r w:rsidRPr="005C6CBF">
              <w:rPr>
                <w:rFonts w:ascii="宋体" w:hAnsi="宋体" w:cs="宋体" w:hint="eastAsia"/>
                <w:kern w:val="0"/>
                <w:sz w:val="20"/>
                <w:szCs w:val="20"/>
              </w:rPr>
              <w:br/>
              <w:t>2.材质:铸铁</w:t>
            </w:r>
            <w:r w:rsidRPr="005C6CBF">
              <w:rPr>
                <w:rFonts w:ascii="宋体" w:hAnsi="宋体" w:cs="宋体" w:hint="eastAsia"/>
                <w:kern w:val="0"/>
                <w:sz w:val="20"/>
                <w:szCs w:val="20"/>
              </w:rPr>
              <w:br/>
              <w:t>3.规格、压力等级:DN200 1.6MPa</w:t>
            </w:r>
            <w:r w:rsidRPr="005C6CBF">
              <w:rPr>
                <w:rFonts w:ascii="宋体" w:hAnsi="宋体" w:cs="宋体" w:hint="eastAsia"/>
                <w:kern w:val="0"/>
                <w:sz w:val="20"/>
                <w:szCs w:val="20"/>
              </w:rPr>
              <w:br/>
              <w:t>4.连接形式:法兰连接</w:t>
            </w:r>
            <w:r w:rsidRPr="005C6CBF">
              <w:rPr>
                <w:rFonts w:ascii="宋体" w:hAnsi="宋体" w:cs="宋体" w:hint="eastAsia"/>
                <w:kern w:val="0"/>
                <w:sz w:val="20"/>
                <w:szCs w:val="20"/>
              </w:rPr>
              <w:br/>
              <w:t>5.焊接方法:电焊</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个</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4</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2100"/>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031001002001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钢管</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1.安装部位:室内</w:t>
            </w:r>
            <w:r w:rsidRPr="005C6CBF">
              <w:rPr>
                <w:rFonts w:ascii="宋体" w:hAnsi="宋体" w:cs="宋体" w:hint="eastAsia"/>
                <w:kern w:val="0"/>
                <w:sz w:val="20"/>
                <w:szCs w:val="20"/>
              </w:rPr>
              <w:br/>
              <w:t>2.介质:冷热水</w:t>
            </w:r>
            <w:r w:rsidRPr="005C6CBF">
              <w:rPr>
                <w:rFonts w:ascii="宋体" w:hAnsi="宋体" w:cs="宋体" w:hint="eastAsia"/>
                <w:kern w:val="0"/>
                <w:sz w:val="20"/>
                <w:szCs w:val="20"/>
              </w:rPr>
              <w:br/>
              <w:t>3.规格、压力等级:无缝钢管 1.6MPa DN200</w:t>
            </w:r>
            <w:r w:rsidRPr="005C6CBF">
              <w:rPr>
                <w:rFonts w:ascii="宋体" w:hAnsi="宋体" w:cs="宋体" w:hint="eastAsia"/>
                <w:kern w:val="0"/>
                <w:sz w:val="20"/>
                <w:szCs w:val="20"/>
              </w:rPr>
              <w:br/>
              <w:t>4.连接形式:焊接连接</w:t>
            </w:r>
            <w:r w:rsidRPr="005C6CBF">
              <w:rPr>
                <w:rFonts w:ascii="宋体" w:hAnsi="宋体" w:cs="宋体" w:hint="eastAsia"/>
                <w:kern w:val="0"/>
                <w:sz w:val="20"/>
                <w:szCs w:val="20"/>
              </w:rPr>
              <w:br/>
              <w:t>5.压力试验及吹、洗设计要求:含压力试验及管道消毒冲洗</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m</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20</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133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030302005001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热交换器类设备安装</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1.名称:板式换热器</w:t>
            </w:r>
            <w:r w:rsidRPr="005C6CBF">
              <w:rPr>
                <w:rFonts w:ascii="宋体" w:hAnsi="宋体" w:cs="宋体" w:hint="eastAsia"/>
                <w:kern w:val="0"/>
                <w:sz w:val="20"/>
                <w:szCs w:val="20"/>
              </w:rPr>
              <w:br/>
              <w:t>2.型号及规格:J*90M/107L</w:t>
            </w:r>
            <w:r w:rsidRPr="005C6CBF">
              <w:rPr>
                <w:rFonts w:ascii="宋体" w:hAnsi="宋体" w:cs="宋体" w:hint="eastAsia"/>
                <w:kern w:val="0"/>
                <w:sz w:val="20"/>
                <w:szCs w:val="20"/>
              </w:rPr>
              <w:br/>
              <w:t>3.其他未尽事宜：满足设计及规范要求，详见设计图纸及招标文件</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台</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82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031208002001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管道绝热</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1.绝热材料品种:离心玻璃棉</w:t>
            </w:r>
            <w:r w:rsidRPr="005C6CBF">
              <w:rPr>
                <w:rFonts w:ascii="宋体" w:hAnsi="宋体" w:cs="宋体" w:hint="eastAsia"/>
                <w:kern w:val="0"/>
                <w:sz w:val="20"/>
                <w:szCs w:val="20"/>
              </w:rPr>
              <w:br/>
              <w:t>2.绝热厚度:50mm</w:t>
            </w:r>
            <w:r w:rsidRPr="005C6CBF">
              <w:rPr>
                <w:rFonts w:ascii="宋体" w:hAnsi="宋体" w:cs="宋体" w:hint="eastAsia"/>
                <w:kern w:val="0"/>
                <w:sz w:val="20"/>
                <w:szCs w:val="20"/>
              </w:rPr>
              <w:br/>
              <w:t>3.管道外径:φ325以下</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m3</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1.7</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184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5</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031002001001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管道支架</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1.名称:管道支架</w:t>
            </w:r>
            <w:r w:rsidRPr="005C6CBF">
              <w:rPr>
                <w:rFonts w:ascii="宋体" w:hAnsi="宋体" w:cs="宋体" w:hint="eastAsia"/>
                <w:kern w:val="0"/>
                <w:sz w:val="20"/>
                <w:szCs w:val="20"/>
              </w:rPr>
              <w:br/>
              <w:t>2.材质:型钢综合</w:t>
            </w:r>
            <w:r w:rsidRPr="005C6CBF">
              <w:rPr>
                <w:rFonts w:ascii="宋体" w:hAnsi="宋体" w:cs="宋体" w:hint="eastAsia"/>
                <w:kern w:val="0"/>
                <w:sz w:val="20"/>
                <w:szCs w:val="20"/>
              </w:rPr>
              <w:br/>
              <w:t>3.除锈刷油:除锈后刷两遍防锈漆</w:t>
            </w:r>
            <w:r w:rsidRPr="005C6CBF">
              <w:rPr>
                <w:rFonts w:ascii="宋体" w:hAnsi="宋体" w:cs="宋体" w:hint="eastAsia"/>
                <w:kern w:val="0"/>
                <w:sz w:val="20"/>
                <w:szCs w:val="20"/>
              </w:rPr>
              <w:br/>
              <w:t>4.其他未尽事宜：满足设计及规范要求，详见设计图纸及招标文件</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kg</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25</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205147" w:rsidRPr="005C6CBF" w:rsidTr="00205147">
        <w:trPr>
          <w:trHeight w:val="360"/>
        </w:trPr>
        <w:tc>
          <w:tcPr>
            <w:tcW w:w="10440" w:type="dxa"/>
            <w:gridSpan w:val="8"/>
            <w:tcBorders>
              <w:top w:val="single" w:sz="4" w:space="0" w:color="000000"/>
              <w:left w:val="single" w:sz="8" w:space="0" w:color="000000"/>
              <w:bottom w:val="single" w:sz="4" w:space="0" w:color="000000"/>
              <w:right w:val="single" w:sz="8" w:space="0" w:color="000000"/>
            </w:tcBorders>
            <w:shd w:val="clear" w:color="FFFFFF" w:fill="FFFFFF"/>
            <w:vAlign w:val="center"/>
            <w:hideMark/>
          </w:tcPr>
          <w:p w:rsidR="00205147" w:rsidRDefault="00205147">
            <w:pPr>
              <w:rPr>
                <w:rFonts w:ascii="宋体" w:hAnsi="宋体" w:cs="宋体"/>
                <w:sz w:val="20"/>
                <w:szCs w:val="20"/>
              </w:rPr>
            </w:pPr>
            <w:r w:rsidRPr="00BD47A7">
              <w:rPr>
                <w:rFonts w:ascii="宋体" w:hAnsi="宋体" w:cs="宋体" w:hint="eastAsia"/>
                <w:kern w:val="0"/>
                <w:sz w:val="20"/>
                <w:szCs w:val="20"/>
              </w:rPr>
              <w:t>分部分项工程费</w:t>
            </w:r>
            <w:r>
              <w:rPr>
                <w:rFonts w:hint="eastAsia"/>
                <w:sz w:val="20"/>
                <w:szCs w:val="20"/>
              </w:rPr>
              <w:t>小计：</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工期要求：</w:t>
      </w:r>
      <w:r>
        <w:rPr>
          <w:rFonts w:ascii="宋体" w:hAnsi="宋体" w:hint="eastAsia"/>
          <w:sz w:val="28"/>
          <w:szCs w:val="28"/>
        </w:rPr>
        <w:t>1个月</w:t>
      </w:r>
      <w:r w:rsidRPr="00082944">
        <w:rPr>
          <w:rFonts w:ascii="宋体" w:hAnsi="宋体" w:hint="eastAsia"/>
          <w:sz w:val="28"/>
          <w:szCs w:val="28"/>
        </w:rPr>
        <w:t>内施工完毕，因医院施工环境特殊，要求中标服务商施工前必须与科室协商施工时间。</w:t>
      </w:r>
    </w:p>
    <w:p w:rsidR="00CE5A6F" w:rsidRPr="006D4A4C" w:rsidRDefault="00CE5A6F" w:rsidP="00CE5A6F">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w:t>
      </w:r>
      <w:r w:rsidRPr="00082944">
        <w:rPr>
          <w:rFonts w:ascii="宋体" w:hAnsi="宋体" w:hint="eastAsia"/>
          <w:sz w:val="28"/>
          <w:szCs w:val="28"/>
        </w:rPr>
        <w:lastRenderedPageBreak/>
        <w:t>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CE5A6F" w:rsidRPr="00502D77" w:rsidRDefault="00CE5A6F" w:rsidP="00CE5A6F">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Pr="00502D77">
        <w:rPr>
          <w:rFonts w:ascii="宋体" w:hAnsi="宋体" w:cs="宋体"/>
          <w:kern w:val="0"/>
          <w:sz w:val="28"/>
          <w:szCs w:val="28"/>
        </w:rPr>
        <w:t>本工程以施工图纸、作法说明、设计变更等国家制订的施工及验收规范为质量评定验收标准</w:t>
      </w:r>
      <w:r w:rsidRPr="00502D77">
        <w:rPr>
          <w:rFonts w:ascii="宋体" w:hAnsi="宋体" w:cs="宋体" w:hint="eastAsia"/>
          <w:kern w:val="0"/>
          <w:sz w:val="28"/>
          <w:szCs w:val="28"/>
        </w:rPr>
        <w:t>，</w:t>
      </w:r>
      <w:r w:rsidRPr="00502D77">
        <w:rPr>
          <w:rFonts w:ascii="宋体" w:hAnsi="宋体"/>
          <w:sz w:val="28"/>
          <w:szCs w:val="28"/>
        </w:rPr>
        <w:t>达到国家现行相关工程施工验收规范合格等级标准。</w:t>
      </w:r>
      <w:r w:rsidRPr="00502D77">
        <w:rPr>
          <w:rFonts w:ascii="宋体" w:hAnsi="宋体" w:cs="宋体"/>
          <w:kern w:val="0"/>
          <w:sz w:val="28"/>
          <w:szCs w:val="28"/>
        </w:rPr>
        <w:t>由于乙方原因造成质量事故，其</w:t>
      </w:r>
      <w:r w:rsidRPr="00502D77">
        <w:rPr>
          <w:rFonts w:ascii="宋体" w:hAnsi="宋体" w:cs="宋体" w:hint="eastAsia"/>
          <w:kern w:val="0"/>
          <w:sz w:val="28"/>
          <w:szCs w:val="28"/>
        </w:rPr>
        <w:t>材料</w:t>
      </w:r>
      <w:r w:rsidRPr="00502D77">
        <w:rPr>
          <w:rFonts w:ascii="宋体" w:hAnsi="宋体" w:cs="宋体"/>
          <w:kern w:val="0"/>
          <w:sz w:val="28"/>
          <w:szCs w:val="28"/>
        </w:rPr>
        <w:t>费</w:t>
      </w:r>
      <w:r w:rsidRPr="00502D77">
        <w:rPr>
          <w:rFonts w:ascii="宋体" w:hAnsi="宋体" w:cs="宋体" w:hint="eastAsia"/>
          <w:kern w:val="0"/>
          <w:sz w:val="28"/>
          <w:szCs w:val="28"/>
        </w:rPr>
        <w:t>、人工费</w:t>
      </w:r>
      <w:r w:rsidRPr="00502D77">
        <w:rPr>
          <w:rFonts w:ascii="宋体" w:hAnsi="宋体" w:cs="宋体"/>
          <w:kern w:val="0"/>
          <w:sz w:val="28"/>
          <w:szCs w:val="28"/>
        </w:rPr>
        <w:t>用由乙方承担，工期不顺延。</w:t>
      </w:r>
    </w:p>
    <w:p w:rsidR="00CE5A6F" w:rsidRPr="00502D77" w:rsidRDefault="00CE5A6F" w:rsidP="00CE5A6F">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CE5A6F" w:rsidRPr="006D4A4C" w:rsidRDefault="00CE5A6F" w:rsidP="00CE5A6F">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CE5A6F" w:rsidRPr="00CE5A6F" w:rsidRDefault="00CE5A6F" w:rsidP="00CE5A6F">
      <w:pPr>
        <w:ind w:firstLineChars="200" w:firstLine="560"/>
        <w:rPr>
          <w:rFonts w:ascii="宋体" w:hAnsi="宋体"/>
          <w:color w:val="FF0000"/>
          <w:sz w:val="28"/>
          <w:szCs w:val="28"/>
        </w:rPr>
      </w:pPr>
      <w:r w:rsidRPr="00CE5A6F">
        <w:rPr>
          <w:rFonts w:ascii="宋体" w:hAnsi="宋体" w:hint="eastAsia"/>
          <w:color w:val="FF0000"/>
          <w:sz w:val="28"/>
          <w:szCs w:val="28"/>
        </w:rPr>
        <w:lastRenderedPageBreak/>
        <w:t>质保期：工程验收合格后</w:t>
      </w:r>
      <w:r w:rsidR="006C1E7D">
        <w:rPr>
          <w:rFonts w:ascii="宋体" w:hAnsi="宋体" w:hint="eastAsia"/>
          <w:color w:val="FF0000"/>
          <w:sz w:val="28"/>
          <w:szCs w:val="28"/>
        </w:rPr>
        <w:t>贰</w:t>
      </w:r>
      <w:r w:rsidRPr="00CE5A6F">
        <w:rPr>
          <w:rFonts w:ascii="宋体" w:hAnsi="宋体" w:hint="eastAsia"/>
          <w:color w:val="FF0000"/>
          <w:sz w:val="28"/>
          <w:szCs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B24BDB" w:rsidRDefault="001720DE" w:rsidP="001720DE">
            <w:pPr>
              <w:spacing w:line="460" w:lineRule="exact"/>
              <w:rPr>
                <w:rFonts w:ascii="宋体" w:hAnsi="宋体"/>
                <w:sz w:val="24"/>
                <w:szCs w:val="24"/>
              </w:rPr>
            </w:pPr>
            <w:r w:rsidRPr="00B24BDB">
              <w:rPr>
                <w:rFonts w:ascii="宋体" w:hAnsi="宋体" w:hint="eastAsia"/>
                <w:sz w:val="24"/>
                <w:szCs w:val="24"/>
              </w:rPr>
              <w:t>主体信用记录</w:t>
            </w:r>
          </w:p>
        </w:tc>
        <w:tc>
          <w:tcPr>
            <w:tcW w:w="4586" w:type="dxa"/>
            <w:tcBorders>
              <w:left w:val="single" w:sz="4" w:space="0" w:color="auto"/>
            </w:tcBorders>
            <w:vAlign w:val="center"/>
          </w:tcPr>
          <w:p w:rsidR="001720DE" w:rsidRPr="00B24BDB" w:rsidRDefault="001720DE" w:rsidP="001720DE">
            <w:pPr>
              <w:spacing w:line="460" w:lineRule="exact"/>
              <w:rPr>
                <w:rFonts w:ascii="宋体" w:hAnsi="宋体"/>
                <w:sz w:val="24"/>
                <w:szCs w:val="24"/>
              </w:rPr>
            </w:pPr>
            <w:r w:rsidRPr="00B24BDB">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24BDB" w:rsidRPr="00504696" w:rsidTr="00576AD2">
        <w:tc>
          <w:tcPr>
            <w:tcW w:w="534" w:type="dxa"/>
            <w:vMerge/>
            <w:tcBorders>
              <w:left w:val="single" w:sz="4" w:space="0" w:color="auto"/>
              <w:bottom w:val="single" w:sz="4" w:space="0" w:color="auto"/>
              <w:right w:val="single" w:sz="4" w:space="0" w:color="auto"/>
            </w:tcBorders>
            <w:vAlign w:val="center"/>
          </w:tcPr>
          <w:p w:rsidR="00B24BDB" w:rsidRPr="008A1747" w:rsidRDefault="00B24BDB"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4BDB" w:rsidRPr="00B24BDB" w:rsidRDefault="00B24BDB" w:rsidP="001720DE">
            <w:pPr>
              <w:spacing w:line="460" w:lineRule="exact"/>
              <w:rPr>
                <w:rFonts w:ascii="宋体" w:hAnsi="宋体"/>
                <w:sz w:val="24"/>
                <w:szCs w:val="24"/>
              </w:rPr>
            </w:pPr>
            <w:r w:rsidRPr="00B24BDB">
              <w:rPr>
                <w:rFonts w:ascii="宋体" w:hAnsi="宋体" w:cs="宋体" w:hint="eastAsia"/>
                <w:kern w:val="0"/>
                <w:sz w:val="24"/>
                <w:szCs w:val="24"/>
              </w:rPr>
              <w:t>资质要求</w:t>
            </w:r>
          </w:p>
        </w:tc>
        <w:tc>
          <w:tcPr>
            <w:tcW w:w="4586" w:type="dxa"/>
            <w:tcBorders>
              <w:left w:val="single" w:sz="4" w:space="0" w:color="auto"/>
            </w:tcBorders>
            <w:vAlign w:val="center"/>
          </w:tcPr>
          <w:p w:rsidR="00B24BDB" w:rsidRPr="00B24BDB" w:rsidRDefault="00B24BDB" w:rsidP="00B24BDB">
            <w:pPr>
              <w:rPr>
                <w:rFonts w:ascii="宋体" w:hAnsi="宋体"/>
                <w:sz w:val="24"/>
                <w:szCs w:val="24"/>
              </w:rPr>
            </w:pPr>
            <w:r w:rsidRPr="00B24BDB">
              <w:rPr>
                <w:rFonts w:ascii="宋体" w:hAnsi="宋体" w:hint="eastAsia"/>
                <w:sz w:val="24"/>
                <w:szCs w:val="24"/>
              </w:rPr>
              <w:t>具备建设行政主管部门颁发的建筑机电安装工程专业承包三级及以上资质证书</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98B" w:rsidRDefault="0070198B" w:rsidP="00D3588F">
      <w:pPr>
        <w:rPr>
          <w:rFonts w:cs="Times New Roman"/>
        </w:rPr>
      </w:pPr>
      <w:r>
        <w:rPr>
          <w:rFonts w:cs="Times New Roman"/>
        </w:rPr>
        <w:separator/>
      </w:r>
    </w:p>
  </w:endnote>
  <w:endnote w:type="continuationSeparator" w:id="0">
    <w:p w:rsidR="0070198B" w:rsidRDefault="0070198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98B" w:rsidRDefault="0070198B" w:rsidP="00D3588F">
      <w:pPr>
        <w:rPr>
          <w:rFonts w:cs="Times New Roman"/>
        </w:rPr>
      </w:pPr>
      <w:r>
        <w:rPr>
          <w:rFonts w:cs="Times New Roman"/>
        </w:rPr>
        <w:separator/>
      </w:r>
    </w:p>
  </w:footnote>
  <w:footnote w:type="continuationSeparator" w:id="0">
    <w:p w:rsidR="0070198B" w:rsidRDefault="0070198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15:restartNumberingAfterBreak="0">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1331"/>
    <w:rsid w:val="00110A4C"/>
    <w:rsid w:val="00114108"/>
    <w:rsid w:val="001153D5"/>
    <w:rsid w:val="00116FC5"/>
    <w:rsid w:val="001249D2"/>
    <w:rsid w:val="00125F97"/>
    <w:rsid w:val="0013281D"/>
    <w:rsid w:val="001539FE"/>
    <w:rsid w:val="001546ED"/>
    <w:rsid w:val="00162024"/>
    <w:rsid w:val="001720DE"/>
    <w:rsid w:val="0018208F"/>
    <w:rsid w:val="001836E3"/>
    <w:rsid w:val="001A6270"/>
    <w:rsid w:val="001B1AFC"/>
    <w:rsid w:val="001C342D"/>
    <w:rsid w:val="001C42C9"/>
    <w:rsid w:val="001C511C"/>
    <w:rsid w:val="001C5EE8"/>
    <w:rsid w:val="001C66E0"/>
    <w:rsid w:val="001D682D"/>
    <w:rsid w:val="001F1AD5"/>
    <w:rsid w:val="001F4223"/>
    <w:rsid w:val="00205147"/>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C6CBF"/>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1E7D"/>
    <w:rsid w:val="006C50FE"/>
    <w:rsid w:val="006D52F7"/>
    <w:rsid w:val="006E2353"/>
    <w:rsid w:val="006F3535"/>
    <w:rsid w:val="0070198B"/>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3A2B"/>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07A5"/>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294E"/>
    <w:rsid w:val="00A4389D"/>
    <w:rsid w:val="00A67374"/>
    <w:rsid w:val="00A7195B"/>
    <w:rsid w:val="00A7245A"/>
    <w:rsid w:val="00A757F9"/>
    <w:rsid w:val="00A8177F"/>
    <w:rsid w:val="00A91741"/>
    <w:rsid w:val="00A926C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4BDB"/>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7A7"/>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5A6F"/>
    <w:rsid w:val="00CF6B2D"/>
    <w:rsid w:val="00D01EEA"/>
    <w:rsid w:val="00D04FEF"/>
    <w:rsid w:val="00D05A49"/>
    <w:rsid w:val="00D16FE2"/>
    <w:rsid w:val="00D17F7E"/>
    <w:rsid w:val="00D210FF"/>
    <w:rsid w:val="00D25C39"/>
    <w:rsid w:val="00D30CE8"/>
    <w:rsid w:val="00D31DB8"/>
    <w:rsid w:val="00D3588F"/>
    <w:rsid w:val="00D4208B"/>
    <w:rsid w:val="00D42BE1"/>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C70D3"/>
    <w:rsid w:val="00ED0C25"/>
    <w:rsid w:val="00EF0F47"/>
    <w:rsid w:val="00EF65AE"/>
    <w:rsid w:val="00EF7B8A"/>
    <w:rsid w:val="00F01B0C"/>
    <w:rsid w:val="00F05662"/>
    <w:rsid w:val="00F12EE2"/>
    <w:rsid w:val="00F134B8"/>
    <w:rsid w:val="00F13956"/>
    <w:rsid w:val="00F2103B"/>
    <w:rsid w:val="00F21B75"/>
    <w:rsid w:val="00F330CE"/>
    <w:rsid w:val="00F338C9"/>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72AD2C-3AB2-43F8-B4AB-B5B6BD1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47671808">
      <w:bodyDiv w:val="1"/>
      <w:marLeft w:val="0"/>
      <w:marRight w:val="0"/>
      <w:marTop w:val="0"/>
      <w:marBottom w:val="0"/>
      <w:divBdr>
        <w:top w:val="none" w:sz="0" w:space="0" w:color="auto"/>
        <w:left w:val="none" w:sz="0" w:space="0" w:color="auto"/>
        <w:bottom w:val="none" w:sz="0" w:space="0" w:color="auto"/>
        <w:right w:val="none" w:sz="0" w:space="0" w:color="auto"/>
      </w:divBdr>
    </w:div>
    <w:div w:id="1426539491">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68F2-9DE6-4B23-A8E6-8F7D158F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808</Words>
  <Characters>4608</Characters>
  <Application>Microsoft Office Word</Application>
  <DocSecurity>0</DocSecurity>
  <Lines>38</Lines>
  <Paragraphs>10</Paragraphs>
  <ScaleCrop>false</ScaleCrop>
  <Company>Microsoft</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Tian</cp:lastModifiedBy>
  <cp:revision>7</cp:revision>
  <cp:lastPrinted>2018-08-22T03:24:00Z</cp:lastPrinted>
  <dcterms:created xsi:type="dcterms:W3CDTF">2021-03-18T01:38:00Z</dcterms:created>
  <dcterms:modified xsi:type="dcterms:W3CDTF">2021-03-28T02:12:00Z</dcterms:modified>
</cp:coreProperties>
</file>