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6F593E" w:rsidRPr="006F593E">
        <w:rPr>
          <w:rFonts w:hint="eastAsia"/>
          <w:sz w:val="28"/>
          <w:szCs w:val="28"/>
        </w:rPr>
        <w:t>眼科A/B超仪采购项目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F593E">
        <w:rPr>
          <w:color w:val="000000"/>
          <w:sz w:val="28"/>
          <w:szCs w:val="28"/>
        </w:rPr>
        <w:t>1</w:t>
      </w:r>
      <w:r w:rsidRPr="00331027">
        <w:rPr>
          <w:color w:val="000000"/>
          <w:sz w:val="28"/>
          <w:szCs w:val="28"/>
        </w:rPr>
        <w:t>-</w:t>
      </w:r>
      <w:r w:rsidR="006F593E">
        <w:rPr>
          <w:color w:val="000000"/>
          <w:sz w:val="28"/>
          <w:szCs w:val="28"/>
        </w:rPr>
        <w:t>2(2)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6F593E" w:rsidRPr="006F593E">
        <w:rPr>
          <w:rFonts w:hint="eastAsia"/>
          <w:sz w:val="28"/>
          <w:szCs w:val="28"/>
        </w:rPr>
        <w:t>眼科A/B超仪采购项目</w:t>
      </w:r>
      <w:r w:rsidR="006F593E">
        <w:rPr>
          <w:rFonts w:hint="eastAsia"/>
          <w:sz w:val="28"/>
          <w:szCs w:val="28"/>
        </w:rPr>
        <w:t>(第2次</w:t>
      </w:r>
      <w:r w:rsidR="006F593E">
        <w:rPr>
          <w:sz w:val="28"/>
          <w:szCs w:val="28"/>
        </w:rPr>
        <w:t>采购</w:t>
      </w:r>
      <w:r w:rsidR="006F593E">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6F593E">
        <w:rPr>
          <w:color w:val="FF0000"/>
          <w:sz w:val="28"/>
          <w:szCs w:val="28"/>
        </w:rPr>
        <w:t>5</w:t>
      </w:r>
      <w:r w:rsidRPr="003D5E50">
        <w:rPr>
          <w:rFonts w:hint="eastAsia"/>
          <w:color w:val="FF0000"/>
          <w:sz w:val="28"/>
          <w:szCs w:val="28"/>
        </w:rPr>
        <w:t>月</w:t>
      </w:r>
      <w:r w:rsidR="006F593E">
        <w:rPr>
          <w:color w:val="FF0000"/>
          <w:sz w:val="28"/>
          <w:szCs w:val="28"/>
        </w:rPr>
        <w:t>8</w:t>
      </w:r>
      <w:r w:rsidRPr="003D5E50">
        <w:rPr>
          <w:rFonts w:hint="eastAsia"/>
          <w:color w:val="FF0000"/>
          <w:sz w:val="28"/>
          <w:szCs w:val="28"/>
        </w:rPr>
        <w:t>日</w:t>
      </w:r>
      <w:r w:rsidR="006F593E">
        <w:rPr>
          <w:color w:val="FF0000"/>
          <w:sz w:val="28"/>
          <w:szCs w:val="28"/>
        </w:rPr>
        <w:t>15</w:t>
      </w:r>
      <w:r w:rsidRPr="003D5E50">
        <w:rPr>
          <w:color w:val="FF0000"/>
          <w:sz w:val="28"/>
          <w:szCs w:val="28"/>
        </w:rPr>
        <w:t>:</w:t>
      </w:r>
      <w:r w:rsidR="006F593E">
        <w:rPr>
          <w:color w:val="FF0000"/>
          <w:sz w:val="28"/>
          <w:szCs w:val="28"/>
        </w:rPr>
        <w:t>0</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6F593E"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6F593E">
        <w:rPr>
          <w:sz w:val="28"/>
          <w:szCs w:val="28"/>
        </w:rPr>
        <w:t xml:space="preserve"> </w:t>
      </w:r>
      <w:r w:rsidRPr="006F593E">
        <w:rPr>
          <w:rFonts w:hint="eastAsia"/>
          <w:sz w:val="28"/>
          <w:szCs w:val="28"/>
        </w:rPr>
        <w:t>系</w:t>
      </w:r>
      <w:r w:rsidRPr="006F593E">
        <w:rPr>
          <w:sz w:val="28"/>
          <w:szCs w:val="28"/>
        </w:rPr>
        <w:t xml:space="preserve"> </w:t>
      </w:r>
      <w:r w:rsidRPr="006F593E">
        <w:rPr>
          <w:rFonts w:hint="eastAsia"/>
          <w:sz w:val="28"/>
          <w:szCs w:val="28"/>
        </w:rPr>
        <w:t>人：</w:t>
      </w:r>
      <w:r w:rsidR="003217B1" w:rsidRPr="006F593E">
        <w:rPr>
          <w:rFonts w:hint="eastAsia"/>
          <w:sz w:val="28"/>
          <w:szCs w:val="28"/>
        </w:rPr>
        <w:t>童</w:t>
      </w:r>
      <w:r w:rsidRPr="006F593E">
        <w:rPr>
          <w:rFonts w:hint="eastAsia"/>
          <w:sz w:val="28"/>
          <w:szCs w:val="28"/>
        </w:rPr>
        <w:t>老师</w:t>
      </w:r>
      <w:r w:rsidRPr="006F593E">
        <w:rPr>
          <w:sz w:val="28"/>
          <w:szCs w:val="28"/>
        </w:rPr>
        <w:t>/</w:t>
      </w:r>
      <w:r w:rsidRPr="006F593E">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6F593E">
        <w:rPr>
          <w:rFonts w:ascii="宋体" w:hAnsi="宋体" w:hint="eastAsia"/>
          <w:sz w:val="28"/>
          <w:szCs w:val="28"/>
        </w:rPr>
        <w:t>联系电话：</w:t>
      </w:r>
      <w:r w:rsidRPr="006F593E">
        <w:rPr>
          <w:rFonts w:ascii="宋体" w:hAnsi="宋体"/>
          <w:sz w:val="28"/>
          <w:szCs w:val="28"/>
        </w:rPr>
        <w:t>0717-648</w:t>
      </w:r>
      <w:r w:rsidR="003217B1" w:rsidRPr="006F593E">
        <w:rPr>
          <w:rFonts w:ascii="宋体" w:hAnsi="宋体" w:hint="eastAsia"/>
          <w:sz w:val="28"/>
          <w:szCs w:val="28"/>
        </w:rPr>
        <w:t>7783</w:t>
      </w:r>
      <w:r w:rsidRPr="006F593E">
        <w:rPr>
          <w:rFonts w:ascii="宋体" w:hAnsi="宋体"/>
          <w:sz w:val="28"/>
          <w:szCs w:val="28"/>
        </w:rPr>
        <w:t xml:space="preserve"> /0717-6</w:t>
      </w:r>
      <w:r w:rsidRPr="00331027">
        <w:rPr>
          <w:rFonts w:ascii="宋体" w:hAnsi="宋体"/>
          <w:sz w:val="28"/>
          <w:szCs w:val="28"/>
        </w:rPr>
        <w:t xml:space="preserve">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6F593E">
        <w:rPr>
          <w:rFonts w:ascii="宋体" w:hAnsi="宋体" w:cs="宋体"/>
          <w:sz w:val="28"/>
          <w:szCs w:val="28"/>
        </w:rPr>
        <w:t>1</w:t>
      </w:r>
      <w:r w:rsidR="007418F7">
        <w:rPr>
          <w:rFonts w:ascii="宋体" w:hAnsi="宋体" w:cs="宋体"/>
          <w:sz w:val="28"/>
          <w:szCs w:val="28"/>
        </w:rPr>
        <w:t>-</w:t>
      </w:r>
      <w:r w:rsidR="006F593E">
        <w:rPr>
          <w:rFonts w:ascii="宋体" w:hAnsi="宋体" w:cs="宋体"/>
          <w:sz w:val="28"/>
          <w:szCs w:val="28"/>
        </w:rPr>
        <w:t>2</w:t>
      </w:r>
      <w:r w:rsidR="006F593E">
        <w:rPr>
          <w:rFonts w:ascii="宋体" w:hAnsi="宋体" w:cs="宋体" w:hint="eastAsia"/>
          <w:sz w:val="28"/>
          <w:szCs w:val="28"/>
        </w:rPr>
        <w:t>（2</w:t>
      </w:r>
      <w:r w:rsidR="006F593E">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6F593E" w:rsidRPr="006F593E">
        <w:rPr>
          <w:rFonts w:hint="eastAsia"/>
          <w:sz w:val="28"/>
          <w:szCs w:val="28"/>
        </w:rPr>
        <w:t>眼科</w:t>
      </w:r>
      <w:r w:rsidR="006F593E" w:rsidRPr="006F593E">
        <w:rPr>
          <w:rFonts w:hint="eastAsia"/>
          <w:sz w:val="28"/>
          <w:szCs w:val="28"/>
        </w:rPr>
        <w:t>A/B</w:t>
      </w:r>
      <w:r w:rsidR="006F593E" w:rsidRPr="006F593E">
        <w:rPr>
          <w:rFonts w:hint="eastAsia"/>
          <w:sz w:val="28"/>
          <w:szCs w:val="28"/>
        </w:rPr>
        <w:t>超仪采购项目</w:t>
      </w:r>
      <w:r w:rsidR="00576966">
        <w:rPr>
          <w:rFonts w:hint="eastAsia"/>
          <w:sz w:val="28"/>
          <w:szCs w:val="28"/>
        </w:rPr>
        <w:t>（第</w:t>
      </w:r>
      <w:r w:rsidR="00576966">
        <w:rPr>
          <w:rFonts w:hint="eastAsia"/>
          <w:sz w:val="28"/>
          <w:szCs w:val="28"/>
        </w:rPr>
        <w:t>2</w:t>
      </w:r>
      <w:r w:rsidR="00576966">
        <w:rPr>
          <w:rFonts w:hint="eastAsia"/>
          <w:sz w:val="28"/>
          <w:szCs w:val="28"/>
        </w:rPr>
        <w:t>次</w:t>
      </w:r>
      <w:r w:rsidR="00576966">
        <w:rPr>
          <w:sz w:val="28"/>
          <w:szCs w:val="28"/>
        </w:rPr>
        <w:t>采购</w:t>
      </w:r>
      <w:bookmarkStart w:id="0" w:name="_GoBack"/>
      <w:bookmarkEnd w:id="0"/>
      <w:r w:rsidR="00576966">
        <w:rPr>
          <w:sz w:val="28"/>
          <w:szCs w:val="28"/>
        </w:rPr>
        <w:t>）</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450A7" w:rsidRPr="006F593E">
        <w:rPr>
          <w:rFonts w:ascii="宋体" w:hAnsi="宋体" w:cs="宋体" w:hint="eastAsia"/>
          <w:kern w:val="0"/>
          <w:sz w:val="28"/>
          <w:szCs w:val="28"/>
        </w:rPr>
        <w:t>15</w:t>
      </w:r>
      <w:r w:rsidR="003217B1" w:rsidRPr="006F593E">
        <w:rPr>
          <w:rFonts w:ascii="宋体" w:hAnsi="宋体" w:cs="宋体" w:hint="eastAsia"/>
          <w:kern w:val="0"/>
          <w:sz w:val="28"/>
          <w:szCs w:val="28"/>
        </w:rPr>
        <w:t>万</w:t>
      </w:r>
      <w:r w:rsidRPr="006F593E">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w:t>
      </w:r>
      <w:r w:rsidR="009375D3" w:rsidRPr="005614F8">
        <w:rPr>
          <w:rFonts w:ascii="宋体" w:hAnsi="宋体" w:cs="宋体" w:hint="eastAsia"/>
          <w:b/>
          <w:kern w:val="0"/>
          <w:sz w:val="28"/>
          <w:szCs w:val="28"/>
        </w:rPr>
        <w:t>根据</w:t>
      </w:r>
      <w:r w:rsidR="009375D3" w:rsidRPr="005614F8">
        <w:rPr>
          <w:rFonts w:ascii="宋体" w:hAnsi="宋体" w:cs="宋体"/>
          <w:b/>
          <w:kern w:val="0"/>
          <w:sz w:val="28"/>
          <w:szCs w:val="28"/>
        </w:rPr>
        <w:t>投标人的商务、技术、价格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6F593E" w:rsidRDefault="00002DB5" w:rsidP="00116FC5">
      <w:pPr>
        <w:widowControl/>
        <w:spacing w:line="500" w:lineRule="exact"/>
        <w:ind w:firstLineChars="200" w:firstLine="560"/>
        <w:jc w:val="left"/>
        <w:rPr>
          <w:rFonts w:ascii="宋体" w:hAnsi="宋体" w:cs="宋体"/>
          <w:kern w:val="0"/>
          <w:sz w:val="28"/>
          <w:szCs w:val="28"/>
        </w:rPr>
      </w:pPr>
      <w:r w:rsidRPr="006F593E">
        <w:rPr>
          <w:rFonts w:ascii="宋体" w:hAnsi="宋体" w:cs="宋体"/>
          <w:kern w:val="0"/>
          <w:sz w:val="28"/>
          <w:szCs w:val="28"/>
        </w:rPr>
        <w:t>3</w:t>
      </w:r>
      <w:r w:rsidR="00687A6E" w:rsidRPr="006F593E">
        <w:rPr>
          <w:rFonts w:ascii="宋体" w:hAnsi="宋体" w:cs="宋体" w:hint="eastAsia"/>
          <w:kern w:val="0"/>
          <w:sz w:val="28"/>
          <w:szCs w:val="28"/>
        </w:rPr>
        <w:t>、</w:t>
      </w:r>
      <w:r w:rsidR="003217B1" w:rsidRPr="006F593E">
        <w:rPr>
          <w:rFonts w:ascii="宋体" w:hAnsi="宋体" w:cs="宋体" w:hint="eastAsia"/>
          <w:kern w:val="0"/>
          <w:sz w:val="28"/>
          <w:szCs w:val="28"/>
        </w:rPr>
        <w:t>供应商具有有效的医疗器械经营</w:t>
      </w:r>
      <w:r w:rsidR="004E47B7" w:rsidRPr="006F593E">
        <w:rPr>
          <w:rFonts w:ascii="宋体" w:hAnsi="宋体" w:cs="宋体" w:hint="eastAsia"/>
          <w:kern w:val="0"/>
          <w:sz w:val="28"/>
          <w:szCs w:val="28"/>
        </w:rPr>
        <w:t>许可</w:t>
      </w:r>
      <w:r w:rsidR="003217B1" w:rsidRPr="006F593E">
        <w:rPr>
          <w:rFonts w:ascii="宋体" w:hAnsi="宋体" w:cs="宋体" w:hint="eastAsia"/>
          <w:kern w:val="0"/>
          <w:sz w:val="28"/>
          <w:szCs w:val="28"/>
        </w:rPr>
        <w:t>证</w:t>
      </w:r>
      <w:r w:rsidR="004E47B7" w:rsidRPr="006F593E">
        <w:rPr>
          <w:rFonts w:ascii="宋体" w:hAnsi="宋体" w:cs="宋体" w:hint="eastAsia"/>
          <w:kern w:val="0"/>
          <w:sz w:val="28"/>
          <w:szCs w:val="28"/>
        </w:rPr>
        <w:t>（或备案证）</w:t>
      </w:r>
      <w:r w:rsidR="003217B1" w:rsidRPr="006F593E">
        <w:rPr>
          <w:rFonts w:ascii="宋体" w:hAnsi="宋体" w:cs="宋体" w:hint="eastAsia"/>
          <w:kern w:val="0"/>
          <w:sz w:val="28"/>
          <w:szCs w:val="28"/>
        </w:rPr>
        <w:t>，所供产品具备医疗器械</w:t>
      </w:r>
      <w:r w:rsidR="004E47B7" w:rsidRPr="006F593E">
        <w:rPr>
          <w:rFonts w:ascii="宋体" w:hAnsi="宋体" w:cs="宋体" w:hint="eastAsia"/>
          <w:kern w:val="0"/>
          <w:sz w:val="28"/>
          <w:szCs w:val="28"/>
        </w:rPr>
        <w:t>注册证（或备案证）、医疗器械生产许可证（或备案证）</w:t>
      </w:r>
      <w:r w:rsidR="00C23175" w:rsidRPr="006F593E">
        <w:rPr>
          <w:rFonts w:ascii="宋体" w:hAnsi="宋体" w:cs="宋体" w:hint="eastAsia"/>
          <w:kern w:val="0"/>
          <w:sz w:val="28"/>
          <w:szCs w:val="28"/>
        </w:rPr>
        <w:t>。</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6F593E" w:rsidRDefault="004E47B7" w:rsidP="00D479E8">
      <w:pPr>
        <w:widowControl/>
        <w:spacing w:line="500" w:lineRule="exact"/>
        <w:ind w:firstLineChars="200" w:firstLine="560"/>
        <w:jc w:val="left"/>
        <w:rPr>
          <w:rFonts w:ascii="宋体" w:hAnsi="宋体" w:cs="宋体"/>
          <w:bCs/>
          <w:kern w:val="0"/>
          <w:sz w:val="28"/>
          <w:szCs w:val="28"/>
        </w:rPr>
      </w:pPr>
      <w:r w:rsidRPr="006F593E">
        <w:rPr>
          <w:rFonts w:ascii="宋体" w:hAnsi="宋体" w:cs="宋体" w:hint="eastAsia"/>
          <w:bCs/>
          <w:kern w:val="0"/>
          <w:sz w:val="28"/>
          <w:szCs w:val="28"/>
        </w:rPr>
        <w:t>本产品</w:t>
      </w:r>
      <w:r w:rsidR="00805358" w:rsidRPr="006F593E">
        <w:rPr>
          <w:rFonts w:ascii="宋体" w:hAnsi="宋体" w:cs="宋体" w:hint="eastAsia"/>
          <w:bCs/>
          <w:kern w:val="0"/>
          <w:sz w:val="28"/>
          <w:szCs w:val="28"/>
        </w:rPr>
        <w:t>通过对眼部的超声测量和眼部相关疾病的诊断。</w:t>
      </w:r>
    </w:p>
    <w:p w:rsidR="005E28DC"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p w:rsidR="003A6554" w:rsidRPr="007238B1" w:rsidRDefault="003A6554" w:rsidP="00DF328A">
      <w:pPr>
        <w:autoSpaceDE w:val="0"/>
        <w:autoSpaceDN w:val="0"/>
        <w:adjustRightInd w:val="0"/>
        <w:contextualSpacing/>
        <w:outlineLvl w:val="0"/>
        <w:rPr>
          <w:rFonts w:ascii="宋体" w:hAnsi="宋体"/>
          <w:b/>
          <w:sz w:val="28"/>
          <w:szCs w:val="28"/>
        </w:rPr>
      </w:pP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sidRPr="001A74A9">
              <w:rPr>
                <w:rFonts w:hint="eastAsia"/>
                <w:sz w:val="28"/>
                <w:szCs w:val="28"/>
              </w:rPr>
              <w:t>眼科A/B型超声诊断仪</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8053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4487"/>
        <w:gridCol w:w="1005"/>
        <w:gridCol w:w="604"/>
      </w:tblGrid>
      <w:tr w:rsidR="00001F5A" w:rsidRPr="0000495B" w:rsidTr="003A6554">
        <w:tc>
          <w:tcPr>
            <w:tcW w:w="81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序号</w:t>
            </w:r>
          </w:p>
        </w:tc>
        <w:tc>
          <w:tcPr>
            <w:tcW w:w="2126"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技术及性能参数名称</w:t>
            </w:r>
          </w:p>
        </w:tc>
        <w:tc>
          <w:tcPr>
            <w:tcW w:w="4487" w:type="dxa"/>
            <w:shd w:val="clear" w:color="auto" w:fill="auto"/>
          </w:tcPr>
          <w:p w:rsidR="00001F5A" w:rsidRPr="0000495B" w:rsidRDefault="00001F5A" w:rsidP="0000495B">
            <w:pPr>
              <w:spacing w:line="360" w:lineRule="auto"/>
              <w:rPr>
                <w:rFonts w:ascii="宋体" w:hAnsi="宋体" w:cs="宋体"/>
                <w:sz w:val="24"/>
                <w:szCs w:val="24"/>
              </w:rPr>
            </w:pPr>
            <w:r w:rsidRPr="0000495B">
              <w:rPr>
                <w:rFonts w:ascii="宋体" w:hAnsi="宋体" w:cs="宋体" w:hint="eastAsia"/>
                <w:sz w:val="24"/>
                <w:szCs w:val="24"/>
              </w:rPr>
              <w:t>技术及性能参数要求</w:t>
            </w:r>
          </w:p>
        </w:tc>
        <w:tc>
          <w:tcPr>
            <w:tcW w:w="1005" w:type="dxa"/>
            <w:shd w:val="clear" w:color="auto" w:fill="auto"/>
          </w:tcPr>
          <w:p w:rsidR="00001F5A" w:rsidRPr="0000495B" w:rsidRDefault="00001F5A" w:rsidP="001F17A8">
            <w:pPr>
              <w:spacing w:line="360" w:lineRule="auto"/>
              <w:rPr>
                <w:rFonts w:ascii="Times New Roman" w:eastAsia="等线" w:hAnsi="Arial" w:cs="宋体"/>
                <w:sz w:val="18"/>
                <w:szCs w:val="18"/>
              </w:rPr>
            </w:pPr>
            <w:r>
              <w:rPr>
                <w:rFonts w:ascii="宋体" w:hAnsi="宋体" w:cs="宋体" w:hint="eastAsia"/>
                <w:sz w:val="24"/>
                <w:szCs w:val="24"/>
              </w:rPr>
              <w:t>所投产品参数</w:t>
            </w:r>
          </w:p>
        </w:tc>
        <w:tc>
          <w:tcPr>
            <w:tcW w:w="604" w:type="dxa"/>
          </w:tcPr>
          <w:p w:rsidR="00001F5A" w:rsidRPr="0000495B" w:rsidRDefault="00001F5A" w:rsidP="001F17A8">
            <w:pPr>
              <w:spacing w:line="360" w:lineRule="auto"/>
              <w:rPr>
                <w:rFonts w:ascii="宋体" w:hAnsi="宋体" w:cs="宋体"/>
                <w:sz w:val="24"/>
                <w:szCs w:val="24"/>
              </w:rPr>
            </w:pPr>
            <w:r>
              <w:rPr>
                <w:rFonts w:ascii="宋体" w:hAnsi="宋体" w:cs="宋体" w:hint="eastAsia"/>
                <w:sz w:val="24"/>
                <w:szCs w:val="24"/>
              </w:rPr>
              <w:t>偏离</w:t>
            </w: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B</w:t>
            </w:r>
            <w:r>
              <w:rPr>
                <w:rFonts w:hint="eastAsia"/>
                <w:b/>
                <w:bCs/>
                <w:color w:val="000000"/>
              </w:rPr>
              <w:t>超</w:t>
            </w:r>
          </w:p>
        </w:tc>
        <w:tc>
          <w:tcPr>
            <w:tcW w:w="4487" w:type="dxa"/>
            <w:shd w:val="clear" w:color="auto" w:fill="auto"/>
            <w:vAlign w:val="center"/>
          </w:tcPr>
          <w:p w:rsidR="003A6554" w:rsidRDefault="003A6554">
            <w:pPr>
              <w:rPr>
                <w:rFonts w:ascii="宋体" w:hAnsi="宋体" w:cs="宋体"/>
                <w:color w:val="000000"/>
                <w:sz w:val="22"/>
                <w:szCs w:val="22"/>
              </w:rPr>
            </w:pPr>
            <w:r>
              <w:rPr>
                <w:rFonts w:hint="eastAsia"/>
                <w:color w:val="000000"/>
                <w:sz w:val="22"/>
                <w:szCs w:val="22"/>
              </w:rPr>
              <w:t xml:space="preserve">　</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1.1</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探头频率</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10MHz</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*1.2</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扫描方式</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闭环磁力驱动扇形扫描（探头震动更小，获取图像更稳定）</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1.3</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灰度等级</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256</w:t>
            </w:r>
            <w:r>
              <w:rPr>
                <w:rFonts w:hint="eastAsia"/>
                <w:color w:val="000000"/>
              </w:rPr>
              <w:t>级灰阶</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*1.4</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增益范围</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0-105db</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*1.5</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后增益调节</w:t>
            </w:r>
          </w:p>
        </w:tc>
        <w:tc>
          <w:tcPr>
            <w:tcW w:w="4487" w:type="dxa"/>
            <w:shd w:val="clear" w:color="auto" w:fill="auto"/>
            <w:vAlign w:val="center"/>
          </w:tcPr>
          <w:p w:rsidR="003A6554" w:rsidRDefault="003A6554">
            <w:pPr>
              <w:rPr>
                <w:rFonts w:ascii="宋体" w:hAnsi="宋体" w:cs="宋体"/>
                <w:color w:val="000000"/>
                <w:sz w:val="24"/>
                <w:szCs w:val="24"/>
              </w:rPr>
            </w:pPr>
            <w:bookmarkStart w:id="1" w:name="RANGE!C8"/>
            <w:r>
              <w:rPr>
                <w:rFonts w:hint="eastAsia"/>
                <w:color w:val="000000"/>
              </w:rPr>
              <w:t xml:space="preserve">0-105db </w:t>
            </w:r>
            <w:r>
              <w:rPr>
                <w:rFonts w:hint="eastAsia"/>
                <w:color w:val="000000"/>
              </w:rPr>
              <w:t>（冻结图片，调节增益来看清不同部位细节，防漏诊误诊必要功能）</w:t>
            </w:r>
            <w:bookmarkEnd w:id="1"/>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1.6</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测量深度</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40mm</w:t>
            </w:r>
            <w:r>
              <w:rPr>
                <w:rFonts w:hint="eastAsia"/>
                <w:color w:val="000000"/>
              </w:rPr>
              <w:t>，</w:t>
            </w:r>
            <w:r>
              <w:rPr>
                <w:rFonts w:hint="eastAsia"/>
                <w:color w:val="000000"/>
              </w:rPr>
              <w:t>60mm</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1.7</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扫描范围</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53</w:t>
            </w:r>
            <w:r>
              <w:rPr>
                <w:rFonts w:ascii="宋体" w:hAnsi="宋体" w:cs="宋体" w:hint="eastAsia"/>
                <w:color w:val="000000"/>
              </w:rPr>
              <w:t>︒</w:t>
            </w:r>
          </w:p>
        </w:tc>
        <w:tc>
          <w:tcPr>
            <w:tcW w:w="1005" w:type="dxa"/>
            <w:shd w:val="clear" w:color="auto" w:fill="auto"/>
          </w:tcPr>
          <w:p w:rsidR="003A6554" w:rsidRPr="0000495B" w:rsidRDefault="003A6554" w:rsidP="0000495B">
            <w:pPr>
              <w:spacing w:before="156" w:after="156"/>
              <w:rPr>
                <w:rFonts w:ascii="华文宋体" w:eastAsia="华文宋体" w:hAnsi="华文宋体" w:cs="微软雅黑"/>
                <w:sz w:val="18"/>
                <w:szCs w:val="18"/>
              </w:rPr>
            </w:pPr>
          </w:p>
        </w:tc>
        <w:tc>
          <w:tcPr>
            <w:tcW w:w="604" w:type="dxa"/>
          </w:tcPr>
          <w:p w:rsidR="003A6554" w:rsidRPr="0000495B" w:rsidRDefault="003A6554" w:rsidP="0000495B">
            <w:pPr>
              <w:spacing w:before="156" w:after="156"/>
              <w:rPr>
                <w:rFonts w:ascii="华文宋体" w:eastAsia="华文宋体" w:hAnsi="华文宋体" w:cs="微软雅黑"/>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1.8</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冻结方式</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脚踏冻结</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*1.9</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图像冻结</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20</w:t>
            </w:r>
            <w:r>
              <w:rPr>
                <w:rFonts w:hint="eastAsia"/>
                <w:color w:val="000000"/>
              </w:rPr>
              <w:t>张</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1.1</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分辨率</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轴向分辨力：≤</w:t>
            </w:r>
            <w:r>
              <w:rPr>
                <w:rFonts w:hint="eastAsia"/>
                <w:color w:val="000000"/>
              </w:rPr>
              <w:t xml:space="preserve"> 0.2 mm</w:t>
            </w:r>
            <w:r>
              <w:rPr>
                <w:rFonts w:hint="eastAsia"/>
                <w:color w:val="000000"/>
              </w:rPr>
              <w:t>，侧向分辨力：≤</w:t>
            </w:r>
            <w:r>
              <w:rPr>
                <w:rFonts w:hint="eastAsia"/>
                <w:color w:val="000000"/>
              </w:rPr>
              <w:t xml:space="preserve"> 0.4 mm</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1.11</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显示模式</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B</w:t>
            </w:r>
            <w:r>
              <w:rPr>
                <w:rFonts w:hint="eastAsia"/>
                <w:color w:val="000000"/>
              </w:rPr>
              <w:t>、</w:t>
            </w:r>
            <w:r>
              <w:rPr>
                <w:rFonts w:hint="eastAsia"/>
                <w:color w:val="000000"/>
              </w:rPr>
              <w:t>B</w:t>
            </w:r>
            <w:r>
              <w:rPr>
                <w:rFonts w:hint="eastAsia"/>
                <w:color w:val="000000"/>
              </w:rPr>
              <w:t>＋</w:t>
            </w:r>
            <w:r>
              <w:rPr>
                <w:rFonts w:hint="eastAsia"/>
                <w:color w:val="000000"/>
              </w:rPr>
              <w:t xml:space="preserve">A </w:t>
            </w:r>
            <w:r>
              <w:rPr>
                <w:rFonts w:hint="eastAsia"/>
                <w:color w:val="000000"/>
              </w:rPr>
              <w:t>、</w:t>
            </w:r>
            <w:r>
              <w:rPr>
                <w:rFonts w:hint="eastAsia"/>
                <w:color w:val="000000"/>
              </w:rPr>
              <w:t>A</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1.12</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报告打印</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视频打印</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*1.13</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回放</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150</w:t>
            </w:r>
            <w:r>
              <w:rPr>
                <w:rFonts w:hint="eastAsia"/>
                <w:color w:val="000000"/>
              </w:rPr>
              <w:t>帧及回放截图</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A</w:t>
            </w:r>
            <w:r>
              <w:rPr>
                <w:rFonts w:hint="eastAsia"/>
                <w:b/>
                <w:bCs/>
                <w:color w:val="000000"/>
              </w:rPr>
              <w:t>超</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 xml:space="preserve">　</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2.1</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探头频率</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10MHz</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*2.2</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测量范围</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0-40mm</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2.3</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测量精度</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w:t>
            </w:r>
            <w:r>
              <w:rPr>
                <w:rFonts w:hint="eastAsia"/>
                <w:color w:val="000000"/>
              </w:rPr>
              <w:t>0.05mm</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*2.4</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测量眼睛模式</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内置六种不同测量模式（有晶体眼、致密晶体眼、无晶体眼、</w:t>
            </w:r>
            <w:r>
              <w:rPr>
                <w:color w:val="000000"/>
              </w:rPr>
              <w:t>PMMA</w:t>
            </w:r>
            <w:r>
              <w:rPr>
                <w:rFonts w:hint="eastAsia"/>
                <w:color w:val="000000"/>
              </w:rPr>
              <w:t>、丙烯酸和硅胶晶体眼），自定义两种测量模式（自动和手动两种测量方</w:t>
            </w:r>
            <w:r>
              <w:rPr>
                <w:rFonts w:hint="eastAsia"/>
                <w:color w:val="000000"/>
              </w:rPr>
              <w:lastRenderedPageBreak/>
              <w:t>式）。</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lastRenderedPageBreak/>
              <w:t>2.5</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测量方式</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浸润（</w:t>
            </w:r>
            <w:r>
              <w:rPr>
                <w:rFonts w:hint="eastAsia"/>
                <w:color w:val="000000"/>
              </w:rPr>
              <w:t>Immersion</w:t>
            </w:r>
            <w:r>
              <w:rPr>
                <w:rFonts w:hint="eastAsia"/>
                <w:color w:val="000000"/>
              </w:rPr>
              <w:t>）</w:t>
            </w:r>
            <w:r>
              <w:rPr>
                <w:rFonts w:hint="eastAsia"/>
                <w:color w:val="000000"/>
              </w:rPr>
              <w:t xml:space="preserve">/ </w:t>
            </w:r>
            <w:r>
              <w:rPr>
                <w:rFonts w:hint="eastAsia"/>
                <w:color w:val="000000"/>
              </w:rPr>
              <w:t>接触（</w:t>
            </w:r>
            <w:r>
              <w:rPr>
                <w:rFonts w:hint="eastAsia"/>
                <w:color w:val="000000"/>
              </w:rPr>
              <w:t>Contact</w:t>
            </w:r>
            <w:r>
              <w:rPr>
                <w:rFonts w:hint="eastAsia"/>
                <w:color w:val="000000"/>
              </w:rPr>
              <w:t>）测量</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00495B"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*2.6</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人式晶体计算公式</w:t>
            </w:r>
          </w:p>
        </w:tc>
        <w:tc>
          <w:tcPr>
            <w:tcW w:w="4487" w:type="dxa"/>
            <w:shd w:val="clear" w:color="auto" w:fill="auto"/>
            <w:vAlign w:val="center"/>
          </w:tcPr>
          <w:p w:rsidR="003A6554" w:rsidRDefault="003A6554" w:rsidP="003A6554">
            <w:pPr>
              <w:rPr>
                <w:rFonts w:ascii="宋体" w:hAnsi="宋体" w:cs="宋体"/>
                <w:color w:val="000000"/>
                <w:sz w:val="24"/>
                <w:szCs w:val="24"/>
              </w:rPr>
            </w:pPr>
            <w:r>
              <w:rPr>
                <w:rFonts w:hint="eastAsia"/>
                <w:color w:val="000000"/>
              </w:rPr>
              <w:t>14</w:t>
            </w:r>
            <w:r>
              <w:rPr>
                <w:rFonts w:hint="eastAsia"/>
                <w:color w:val="000000"/>
              </w:rPr>
              <w:t>种计算公式，同屏显示四组不同</w:t>
            </w:r>
            <w:r>
              <w:rPr>
                <w:rFonts w:hint="eastAsia"/>
                <w:color w:val="000000"/>
              </w:rPr>
              <w:t>A</w:t>
            </w:r>
            <w:r>
              <w:rPr>
                <w:rFonts w:hint="eastAsia"/>
                <w:color w:val="000000"/>
              </w:rPr>
              <w:t>常数计算公式，内置不同厂家晶体参数供选择。</w:t>
            </w:r>
            <w:r>
              <w:rPr>
                <w:color w:val="000000"/>
              </w:rPr>
              <w:t>6</w:t>
            </w:r>
            <w:r>
              <w:rPr>
                <w:rFonts w:hint="eastAsia"/>
                <w:color w:val="000000"/>
              </w:rPr>
              <w:t>种常用公式：</w:t>
            </w:r>
            <w:r>
              <w:rPr>
                <w:color w:val="000000"/>
              </w:rPr>
              <w:t>SRK-T,Hollady,Hoffer Q, SRK-2,Binkhorst</w:t>
            </w:r>
            <w:r>
              <w:rPr>
                <w:rFonts w:hint="eastAsia"/>
                <w:color w:val="000000"/>
              </w:rPr>
              <w:t>Ⅱ</w:t>
            </w:r>
            <w:r>
              <w:rPr>
                <w:color w:val="000000"/>
              </w:rPr>
              <w:t>,Haigis</w:t>
            </w:r>
            <w:r>
              <w:rPr>
                <w:rFonts w:hint="eastAsia"/>
                <w:color w:val="000000"/>
              </w:rPr>
              <w:t>；</w:t>
            </w:r>
            <w:r>
              <w:rPr>
                <w:color w:val="000000"/>
              </w:rPr>
              <w:t>8</w:t>
            </w:r>
            <w:r>
              <w:rPr>
                <w:rFonts w:hint="eastAsia"/>
                <w:color w:val="000000"/>
              </w:rPr>
              <w:t>种计算手术后晶体度数公式：</w:t>
            </w:r>
            <w:r>
              <w:rPr>
                <w:color w:val="000000"/>
              </w:rPr>
              <w:t>Derived,RefractionDerived,Contact</w:t>
            </w:r>
            <w:r w:rsidR="001A74A9">
              <w:rPr>
                <w:color w:val="000000"/>
              </w:rPr>
              <w:t>Lens</w:t>
            </w:r>
            <w:r>
              <w:rPr>
                <w:color w:val="000000"/>
              </w:rPr>
              <w:t>methods,ROSARegression,SHAMMASRegression,Double KS,RK-T</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2.7</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统计计算</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标准差，平均值</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*2.8</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计算机参数</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便携式一体机，专用嵌入式系统，</w:t>
            </w:r>
            <w:r>
              <w:rPr>
                <w:rFonts w:hint="eastAsia"/>
                <w:color w:val="000000"/>
              </w:rPr>
              <w:t>12.1</w:t>
            </w:r>
            <w:r>
              <w:rPr>
                <w:rFonts w:hint="eastAsia"/>
                <w:color w:val="000000"/>
              </w:rPr>
              <w:t>英寸大屏显示，触摸式操作。</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2.9</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图像处理</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对比度、图像回放、伪彩显示、图像测试、图像标记，实时抓取存储图像</w:t>
            </w:r>
            <w:r>
              <w:rPr>
                <w:rFonts w:hint="eastAsia"/>
                <w:color w:val="000000"/>
              </w:rPr>
              <w:t>/</w:t>
            </w:r>
            <w:r>
              <w:rPr>
                <w:rFonts w:hint="eastAsia"/>
                <w:color w:val="000000"/>
              </w:rPr>
              <w:t>视频，侧栏暂存槽实现即时对比与回放。临床报告可编辑</w:t>
            </w:r>
            <w:r>
              <w:rPr>
                <w:rFonts w:hint="eastAsia"/>
                <w:color w:val="000000"/>
              </w:rPr>
              <w:t>A</w:t>
            </w:r>
            <w:r>
              <w:rPr>
                <w:rFonts w:hint="eastAsia"/>
                <w:color w:val="000000"/>
              </w:rPr>
              <w:t>超数据、</w:t>
            </w:r>
            <w:r>
              <w:rPr>
                <w:rFonts w:hint="eastAsia"/>
                <w:color w:val="000000"/>
              </w:rPr>
              <w:t>B</w:t>
            </w:r>
            <w:r>
              <w:rPr>
                <w:rFonts w:hint="eastAsia"/>
                <w:color w:val="000000"/>
              </w:rPr>
              <w:t>超图像、</w:t>
            </w:r>
            <w:r>
              <w:rPr>
                <w:rFonts w:hint="eastAsia"/>
                <w:color w:val="000000"/>
              </w:rPr>
              <w:t>IOL</w:t>
            </w:r>
            <w:r>
              <w:rPr>
                <w:rFonts w:hint="eastAsia"/>
                <w:color w:val="000000"/>
              </w:rPr>
              <w:t>计算结果、医生诊断记录、并支持可编辑词条，兼容图像</w:t>
            </w:r>
            <w:r>
              <w:rPr>
                <w:rFonts w:ascii="Arial" w:hAnsi="Arial" w:cs="Arial"/>
                <w:color w:val="000000"/>
              </w:rPr>
              <w:t>/</w:t>
            </w:r>
            <w:r>
              <w:rPr>
                <w:rFonts w:hint="eastAsia"/>
                <w:color w:val="000000"/>
              </w:rPr>
              <w:t>文本打印机</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2.1</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打印机</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激光打印机支持图像打印功能。</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2.11</w:t>
            </w:r>
          </w:p>
        </w:tc>
        <w:tc>
          <w:tcPr>
            <w:tcW w:w="2126"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软件</w:t>
            </w:r>
          </w:p>
        </w:tc>
        <w:tc>
          <w:tcPr>
            <w:tcW w:w="4487" w:type="dxa"/>
            <w:shd w:val="clear" w:color="auto" w:fill="auto"/>
            <w:vAlign w:val="center"/>
          </w:tcPr>
          <w:p w:rsidR="003A6554" w:rsidRDefault="003A6554">
            <w:pPr>
              <w:rPr>
                <w:rFonts w:ascii="宋体" w:hAnsi="宋体" w:cs="宋体"/>
                <w:color w:val="000000"/>
                <w:sz w:val="24"/>
                <w:szCs w:val="24"/>
              </w:rPr>
            </w:pPr>
            <w:r>
              <w:rPr>
                <w:rFonts w:hint="eastAsia"/>
                <w:color w:val="000000"/>
              </w:rPr>
              <w:t>国家版权软件壹套，具备通过</w:t>
            </w:r>
            <w:r>
              <w:rPr>
                <w:rFonts w:hint="eastAsia"/>
                <w:color w:val="000000"/>
              </w:rPr>
              <w:t>HDMI</w:t>
            </w:r>
            <w:r>
              <w:rPr>
                <w:rFonts w:hint="eastAsia"/>
                <w:color w:val="000000"/>
              </w:rPr>
              <w:t>与</w:t>
            </w:r>
            <w:r>
              <w:rPr>
                <w:rFonts w:hint="eastAsia"/>
                <w:color w:val="000000"/>
              </w:rPr>
              <w:t>USB2.0</w:t>
            </w:r>
            <w:r>
              <w:rPr>
                <w:rFonts w:hint="eastAsia"/>
                <w:color w:val="000000"/>
              </w:rPr>
              <w:t>端口实现多种扩展连接，通过</w:t>
            </w:r>
            <w:r>
              <w:rPr>
                <w:rFonts w:hint="eastAsia"/>
                <w:color w:val="000000"/>
              </w:rPr>
              <w:t>HDMI</w:t>
            </w:r>
            <w:r>
              <w:rPr>
                <w:rFonts w:hint="eastAsia"/>
                <w:color w:val="000000"/>
              </w:rPr>
              <w:t>端口实现双屏演示；</w:t>
            </w:r>
            <w:r>
              <w:rPr>
                <w:rFonts w:hint="eastAsia"/>
                <w:color w:val="000000"/>
              </w:rPr>
              <w:t>USB2.0</w:t>
            </w:r>
            <w:r>
              <w:rPr>
                <w:rFonts w:hint="eastAsia"/>
                <w:color w:val="000000"/>
              </w:rPr>
              <w:t>端口支持</w:t>
            </w:r>
            <w:r>
              <w:rPr>
                <w:rFonts w:hint="eastAsia"/>
                <w:color w:val="000000"/>
              </w:rPr>
              <w:t>DICOM3.0</w:t>
            </w:r>
            <w:r>
              <w:rPr>
                <w:rFonts w:hint="eastAsia"/>
                <w:color w:val="000000"/>
              </w:rPr>
              <w:t>传输协议。</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3A6554" w:rsidRPr="0000495B" w:rsidTr="003A6554">
        <w:tc>
          <w:tcPr>
            <w:tcW w:w="817" w:type="dxa"/>
            <w:shd w:val="clear" w:color="auto" w:fill="auto"/>
            <w:vAlign w:val="center"/>
          </w:tcPr>
          <w:p w:rsidR="003A6554" w:rsidRDefault="003A6554">
            <w:pPr>
              <w:jc w:val="center"/>
              <w:rPr>
                <w:rFonts w:ascii="宋体" w:hAnsi="宋体" w:cs="宋体"/>
                <w:b/>
                <w:bCs/>
                <w:color w:val="000000"/>
                <w:sz w:val="24"/>
                <w:szCs w:val="24"/>
              </w:rPr>
            </w:pPr>
            <w:r>
              <w:rPr>
                <w:rFonts w:hint="eastAsia"/>
                <w:b/>
                <w:bCs/>
                <w:color w:val="000000"/>
              </w:rPr>
              <w:t>*2.12</w:t>
            </w:r>
          </w:p>
        </w:tc>
        <w:tc>
          <w:tcPr>
            <w:tcW w:w="2126" w:type="dxa"/>
            <w:shd w:val="clear" w:color="auto" w:fill="auto"/>
            <w:vAlign w:val="center"/>
          </w:tcPr>
          <w:p w:rsidR="003A6554" w:rsidRDefault="003A6554">
            <w:pPr>
              <w:jc w:val="center"/>
              <w:rPr>
                <w:rFonts w:ascii="宋体" w:hAnsi="宋体" w:cs="宋体"/>
                <w:b/>
                <w:bCs/>
                <w:color w:val="000000"/>
              </w:rPr>
            </w:pPr>
            <w:r>
              <w:rPr>
                <w:rFonts w:hint="eastAsia"/>
                <w:b/>
                <w:bCs/>
                <w:color w:val="000000"/>
              </w:rPr>
              <w:t>存储容量</w:t>
            </w:r>
          </w:p>
        </w:tc>
        <w:tc>
          <w:tcPr>
            <w:tcW w:w="4487" w:type="dxa"/>
            <w:shd w:val="clear" w:color="auto" w:fill="auto"/>
            <w:vAlign w:val="center"/>
          </w:tcPr>
          <w:p w:rsidR="003A6554" w:rsidRDefault="003A6554">
            <w:pPr>
              <w:rPr>
                <w:rFonts w:ascii="宋体" w:hAnsi="宋体" w:cs="宋体"/>
                <w:color w:val="000000"/>
                <w:sz w:val="22"/>
                <w:szCs w:val="22"/>
              </w:rPr>
            </w:pPr>
            <w:r>
              <w:rPr>
                <w:rFonts w:hint="eastAsia"/>
                <w:color w:val="000000"/>
                <w:sz w:val="22"/>
                <w:szCs w:val="22"/>
              </w:rPr>
              <w:t>≥</w:t>
            </w:r>
            <w:r>
              <w:rPr>
                <w:rFonts w:hint="eastAsia"/>
                <w:color w:val="000000"/>
                <w:sz w:val="22"/>
                <w:szCs w:val="22"/>
              </w:rPr>
              <w:t>20000</w:t>
            </w:r>
            <w:r>
              <w:rPr>
                <w:rFonts w:hint="eastAsia"/>
                <w:color w:val="000000"/>
                <w:sz w:val="22"/>
                <w:szCs w:val="22"/>
              </w:rPr>
              <w:t>次扫描结果（按每次扫描存储</w:t>
            </w:r>
            <w:r>
              <w:rPr>
                <w:rFonts w:hint="eastAsia"/>
                <w:color w:val="000000"/>
                <w:sz w:val="22"/>
                <w:szCs w:val="22"/>
              </w:rPr>
              <w:t>12</w:t>
            </w:r>
            <w:r>
              <w:rPr>
                <w:rFonts w:hint="eastAsia"/>
                <w:color w:val="000000"/>
                <w:sz w:val="22"/>
                <w:szCs w:val="22"/>
              </w:rPr>
              <w:t>幅无损图片计算）</w:t>
            </w:r>
          </w:p>
        </w:tc>
        <w:tc>
          <w:tcPr>
            <w:tcW w:w="1005" w:type="dxa"/>
            <w:shd w:val="clear" w:color="auto" w:fill="auto"/>
          </w:tcPr>
          <w:p w:rsidR="003A6554" w:rsidRPr="0000495B" w:rsidRDefault="003A6554" w:rsidP="0000495B">
            <w:pPr>
              <w:spacing w:line="360" w:lineRule="auto"/>
              <w:rPr>
                <w:rFonts w:ascii="华文宋体" w:eastAsia="华文宋体" w:hAnsi="华文宋体" w:cs="宋体"/>
                <w:sz w:val="18"/>
                <w:szCs w:val="18"/>
              </w:rPr>
            </w:pPr>
          </w:p>
        </w:tc>
        <w:tc>
          <w:tcPr>
            <w:tcW w:w="604" w:type="dxa"/>
          </w:tcPr>
          <w:p w:rsidR="003A6554" w:rsidRPr="00AD7048" w:rsidRDefault="003A6554" w:rsidP="0000495B">
            <w:pPr>
              <w:spacing w:line="360" w:lineRule="auto"/>
              <w:rPr>
                <w:rFonts w:ascii="华文宋体" w:eastAsia="华文宋体" w:hAnsi="华文宋体" w:cs="宋体"/>
                <w:sz w:val="18"/>
                <w:szCs w:val="18"/>
              </w:rPr>
            </w:pPr>
          </w:p>
        </w:tc>
      </w:tr>
      <w:tr w:rsidR="00682CED" w:rsidRPr="0000495B" w:rsidTr="006C1ADD">
        <w:tc>
          <w:tcPr>
            <w:tcW w:w="817" w:type="dxa"/>
            <w:shd w:val="clear" w:color="auto" w:fill="auto"/>
            <w:vAlign w:val="center"/>
          </w:tcPr>
          <w:p w:rsidR="00682CED" w:rsidRDefault="00682CED">
            <w:pPr>
              <w:jc w:val="center"/>
              <w:rPr>
                <w:b/>
                <w:bCs/>
                <w:color w:val="000000"/>
              </w:rPr>
            </w:pPr>
            <w:r>
              <w:rPr>
                <w:rFonts w:hint="eastAsia"/>
                <w:b/>
                <w:bCs/>
                <w:color w:val="000000"/>
              </w:rPr>
              <w:t>2.13</w:t>
            </w:r>
          </w:p>
        </w:tc>
        <w:tc>
          <w:tcPr>
            <w:tcW w:w="2126" w:type="dxa"/>
            <w:shd w:val="clear" w:color="auto" w:fill="auto"/>
          </w:tcPr>
          <w:p w:rsidR="00682CED" w:rsidRDefault="00682CED" w:rsidP="00682CED">
            <w:pPr>
              <w:jc w:val="center"/>
              <w:rPr>
                <w:rFonts w:ascii="宋体" w:hAnsi="宋体" w:cs="宋体"/>
              </w:rPr>
            </w:pPr>
            <w:r w:rsidRPr="00682CED">
              <w:rPr>
                <w:rFonts w:hint="eastAsia"/>
                <w:b/>
                <w:bCs/>
                <w:color w:val="000000"/>
              </w:rPr>
              <w:t>配置</w:t>
            </w:r>
          </w:p>
        </w:tc>
        <w:tc>
          <w:tcPr>
            <w:tcW w:w="4487" w:type="dxa"/>
            <w:shd w:val="clear" w:color="auto" w:fill="auto"/>
          </w:tcPr>
          <w:p w:rsidR="00682CED" w:rsidRDefault="00682CED" w:rsidP="00682CED">
            <w:pPr>
              <w:rPr>
                <w:rFonts w:ascii="Arial" w:hAnsi="Arial" w:cs="Arial"/>
                <w:sz w:val="24"/>
                <w:szCs w:val="24"/>
              </w:rPr>
            </w:pPr>
            <w:r w:rsidRPr="00682CED">
              <w:rPr>
                <w:rFonts w:hint="eastAsia"/>
                <w:color w:val="000000"/>
                <w:sz w:val="22"/>
                <w:szCs w:val="22"/>
              </w:rPr>
              <w:t>配备主机</w:t>
            </w:r>
            <w:r w:rsidRPr="00682CED">
              <w:rPr>
                <w:rFonts w:hint="eastAsia"/>
                <w:color w:val="000000"/>
                <w:sz w:val="22"/>
                <w:szCs w:val="22"/>
              </w:rPr>
              <w:t>1</w:t>
            </w:r>
            <w:r w:rsidRPr="00682CED">
              <w:rPr>
                <w:rFonts w:hint="eastAsia"/>
                <w:color w:val="000000"/>
                <w:sz w:val="22"/>
                <w:szCs w:val="22"/>
              </w:rPr>
              <w:t>台；打印机</w:t>
            </w:r>
            <w:r w:rsidRPr="00682CED">
              <w:rPr>
                <w:rFonts w:hint="eastAsia"/>
                <w:color w:val="000000"/>
                <w:sz w:val="22"/>
                <w:szCs w:val="22"/>
              </w:rPr>
              <w:t>1</w:t>
            </w:r>
            <w:r w:rsidRPr="00682CED">
              <w:rPr>
                <w:rFonts w:hint="eastAsia"/>
                <w:color w:val="000000"/>
                <w:sz w:val="22"/>
                <w:szCs w:val="22"/>
              </w:rPr>
              <w:t>台；眼杯</w:t>
            </w:r>
            <w:r w:rsidRPr="00682CED">
              <w:rPr>
                <w:rFonts w:hint="eastAsia"/>
                <w:color w:val="000000"/>
                <w:sz w:val="22"/>
                <w:szCs w:val="22"/>
              </w:rPr>
              <w:t>1</w:t>
            </w:r>
            <w:r w:rsidRPr="00682CED">
              <w:rPr>
                <w:rFonts w:hint="eastAsia"/>
                <w:color w:val="000000"/>
                <w:sz w:val="22"/>
                <w:szCs w:val="22"/>
              </w:rPr>
              <w:t>套</w:t>
            </w:r>
          </w:p>
        </w:tc>
        <w:tc>
          <w:tcPr>
            <w:tcW w:w="1005" w:type="dxa"/>
            <w:shd w:val="clear" w:color="auto" w:fill="auto"/>
          </w:tcPr>
          <w:p w:rsidR="00682CED" w:rsidRPr="0000495B" w:rsidRDefault="00682CED" w:rsidP="0000495B">
            <w:pPr>
              <w:spacing w:line="360" w:lineRule="auto"/>
              <w:rPr>
                <w:rFonts w:ascii="华文宋体" w:eastAsia="华文宋体" w:hAnsi="华文宋体" w:cs="宋体"/>
                <w:sz w:val="18"/>
                <w:szCs w:val="18"/>
              </w:rPr>
            </w:pPr>
          </w:p>
        </w:tc>
        <w:tc>
          <w:tcPr>
            <w:tcW w:w="604" w:type="dxa"/>
          </w:tcPr>
          <w:p w:rsidR="00682CED" w:rsidRPr="00AD7048" w:rsidRDefault="00682CED" w:rsidP="0000495B">
            <w:pPr>
              <w:spacing w:line="360" w:lineRule="auto"/>
              <w:rPr>
                <w:rFonts w:ascii="华文宋体" w:eastAsia="华文宋体" w:hAnsi="华文宋体" w:cs="宋体"/>
                <w:sz w:val="18"/>
                <w:szCs w:val="18"/>
              </w:rPr>
            </w:pPr>
          </w:p>
        </w:tc>
      </w:tr>
    </w:tbl>
    <w:p w:rsidR="00524B17" w:rsidRPr="0050042D" w:rsidRDefault="0050042D" w:rsidP="00CA12F6">
      <w:pPr>
        <w:spacing w:line="240" w:lineRule="atLeast"/>
        <w:contextualSpacing/>
        <w:rPr>
          <w:rFonts w:ascii="宋体" w:hAnsi="宋体" w:cs="Courier New"/>
          <w:b/>
          <w:color w:val="FF0000"/>
          <w:spacing w:val="2"/>
          <w:sz w:val="28"/>
          <w:szCs w:val="28"/>
          <w:highlight w:val="green"/>
        </w:rPr>
      </w:pPr>
      <w:r w:rsidRPr="00985A41">
        <w:rPr>
          <w:rFonts w:ascii="宋体" w:eastAsia="等线" w:hAnsi="宋体" w:cs="Times New Roman" w:hint="eastAsia"/>
          <w:szCs w:val="24"/>
        </w:rPr>
        <w:t>技术参数应当在响应文件中提供技术支持资料并</w:t>
      </w:r>
      <w:r w:rsidRPr="00985A41">
        <w:rPr>
          <w:rFonts w:ascii="宋体" w:eastAsia="等线" w:hAnsi="宋体" w:cs="Times New Roman" w:hint="eastAsia"/>
          <w:b/>
          <w:bCs/>
          <w:szCs w:val="24"/>
          <w:highlight w:val="yellow"/>
        </w:rPr>
        <w:t>列出对应具体页码，且在具体页码上以高亮形式标记</w:t>
      </w:r>
      <w:r w:rsidRPr="00985A41">
        <w:rPr>
          <w:rFonts w:ascii="宋体" w:eastAsia="等线" w:hAnsi="宋体" w:cs="Times New Roman" w:hint="eastAsia"/>
          <w:szCs w:val="24"/>
        </w:rPr>
        <w:t>。技术支持资料以</w:t>
      </w:r>
      <w:r w:rsidRPr="00985A41">
        <w:rPr>
          <w:rFonts w:ascii="宋体" w:eastAsia="等线" w:hAnsi="宋体" w:cs="Times New Roman" w:hint="eastAsia"/>
          <w:b/>
          <w:bCs/>
          <w:color w:val="FF0000"/>
          <w:szCs w:val="24"/>
          <w:highlight w:val="yellow"/>
        </w:rPr>
        <w:t>制造商公开发布的印刷资料、产品说明书、技术白皮书以及检测机构出具的检测报告</w:t>
      </w:r>
      <w:r w:rsidRPr="00985A41">
        <w:rPr>
          <w:rFonts w:ascii="宋体" w:eastAsia="等线" w:hAnsi="宋体" w:cs="Times New Roman" w:hint="eastAsia"/>
          <w:color w:val="FF0000"/>
          <w:szCs w:val="24"/>
          <w:highlight w:val="yellow"/>
        </w:rPr>
        <w:t>或文件中允许的其他形式为准，其余资料全部视为无效技术支持资料</w:t>
      </w:r>
      <w:r w:rsidRPr="00985A41">
        <w:rPr>
          <w:rFonts w:ascii="宋体" w:eastAsia="等线" w:hAnsi="宋体" w:cs="Times New Roman" w:hint="eastAsia"/>
          <w:szCs w:val="24"/>
        </w:rPr>
        <w:t>，凡不列出对应页码或不在该页码上高亮标记、不提供或提供无效技术支持资料的响应文件，可被视为低于采购要求</w:t>
      </w:r>
      <w:r w:rsidR="00CA12F6" w:rsidRPr="00CA12F6">
        <w:rPr>
          <w:rFonts w:ascii="宋体" w:hAnsi="宋体" w:cs="Courier New" w:hint="eastAsia"/>
          <w:b/>
          <w:spacing w:val="2"/>
          <w:sz w:val="28"/>
          <w:szCs w:val="28"/>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6F593E" w:rsidRDefault="00D479E8" w:rsidP="00B26B6F">
      <w:pPr>
        <w:ind w:firstLineChars="200" w:firstLine="560"/>
        <w:jc w:val="left"/>
        <w:rPr>
          <w:rFonts w:ascii="宋体" w:hAnsi="宋体" w:cs="宋体"/>
          <w:kern w:val="0"/>
          <w:sz w:val="28"/>
          <w:szCs w:val="28"/>
        </w:rPr>
      </w:pPr>
      <w:r w:rsidRPr="006F593E">
        <w:rPr>
          <w:rFonts w:ascii="宋体" w:hAnsi="宋体" w:cs="宋体" w:hint="eastAsia"/>
          <w:kern w:val="0"/>
          <w:sz w:val="28"/>
          <w:szCs w:val="28"/>
        </w:rPr>
        <w:t>交货期</w:t>
      </w:r>
      <w:r w:rsidR="00086720" w:rsidRPr="006F593E">
        <w:rPr>
          <w:rFonts w:ascii="宋体" w:hAnsi="宋体" w:cs="宋体" w:hint="eastAsia"/>
          <w:kern w:val="0"/>
          <w:sz w:val="28"/>
          <w:szCs w:val="28"/>
        </w:rPr>
        <w:t>：签订合同后30天</w:t>
      </w:r>
      <w:r w:rsidR="006A2171" w:rsidRPr="006F593E">
        <w:rPr>
          <w:rFonts w:ascii="宋体" w:hAnsi="宋体" w:cs="宋体" w:hint="eastAsia"/>
          <w:kern w:val="0"/>
          <w:sz w:val="28"/>
          <w:szCs w:val="28"/>
        </w:rPr>
        <w:t>内</w:t>
      </w:r>
    </w:p>
    <w:p w:rsidR="00086720" w:rsidRPr="006F593E" w:rsidRDefault="00D479E8" w:rsidP="00B26B6F">
      <w:pPr>
        <w:ind w:firstLineChars="200" w:firstLine="560"/>
        <w:jc w:val="left"/>
        <w:rPr>
          <w:rFonts w:ascii="宋体" w:hAnsi="宋体" w:cs="宋体"/>
          <w:kern w:val="0"/>
          <w:sz w:val="28"/>
          <w:szCs w:val="28"/>
        </w:rPr>
      </w:pPr>
      <w:r w:rsidRPr="006F593E">
        <w:rPr>
          <w:rFonts w:ascii="宋体" w:hAnsi="宋体" w:cs="宋体" w:hint="eastAsia"/>
          <w:kern w:val="0"/>
          <w:sz w:val="28"/>
          <w:szCs w:val="28"/>
        </w:rPr>
        <w:t>交货地点</w:t>
      </w:r>
      <w:r w:rsidR="00086720" w:rsidRPr="006F593E">
        <w:rPr>
          <w:rFonts w:ascii="宋体" w:hAnsi="宋体" w:cs="宋体" w:hint="eastAsia"/>
          <w:kern w:val="0"/>
          <w:sz w:val="28"/>
          <w:szCs w:val="28"/>
        </w:rPr>
        <w:t>：医院指定地点</w:t>
      </w:r>
    </w:p>
    <w:p w:rsidR="00086720" w:rsidRPr="006F593E" w:rsidRDefault="00D479E8" w:rsidP="00B26B6F">
      <w:pPr>
        <w:ind w:firstLineChars="200" w:firstLine="560"/>
        <w:jc w:val="left"/>
        <w:rPr>
          <w:rFonts w:ascii="宋体" w:hAnsi="宋体" w:cs="宋体"/>
          <w:kern w:val="0"/>
          <w:sz w:val="28"/>
          <w:szCs w:val="28"/>
        </w:rPr>
      </w:pPr>
      <w:r w:rsidRPr="006F593E">
        <w:rPr>
          <w:rFonts w:ascii="宋体" w:hAnsi="宋体" w:cs="宋体" w:hint="eastAsia"/>
          <w:kern w:val="0"/>
          <w:sz w:val="28"/>
          <w:szCs w:val="28"/>
        </w:rPr>
        <w:lastRenderedPageBreak/>
        <w:t>付款条件及方式</w:t>
      </w:r>
      <w:r w:rsidR="00086720" w:rsidRPr="006F593E">
        <w:rPr>
          <w:rFonts w:ascii="宋体" w:hAnsi="宋体" w:cs="宋体" w:hint="eastAsia"/>
          <w:kern w:val="0"/>
          <w:sz w:val="28"/>
          <w:szCs w:val="28"/>
        </w:rPr>
        <w:t>：与医院协商</w:t>
      </w:r>
    </w:p>
    <w:p w:rsidR="00086720" w:rsidRPr="006F593E" w:rsidRDefault="00086720" w:rsidP="00B26B6F">
      <w:pPr>
        <w:ind w:firstLineChars="200" w:firstLine="560"/>
        <w:jc w:val="left"/>
        <w:rPr>
          <w:rFonts w:ascii="宋体" w:hAnsi="宋体" w:cs="宋体"/>
          <w:kern w:val="0"/>
          <w:sz w:val="28"/>
          <w:szCs w:val="28"/>
        </w:rPr>
      </w:pPr>
      <w:r w:rsidRPr="006F593E">
        <w:rPr>
          <w:rFonts w:ascii="宋体" w:hAnsi="宋体" w:cs="宋体" w:hint="eastAsia"/>
          <w:kern w:val="0"/>
          <w:sz w:val="28"/>
          <w:szCs w:val="28"/>
        </w:rPr>
        <w:t>保修</w:t>
      </w:r>
      <w:r w:rsidR="00D479E8" w:rsidRPr="006F593E">
        <w:rPr>
          <w:rFonts w:ascii="宋体" w:hAnsi="宋体" w:cs="宋体" w:hint="eastAsia"/>
          <w:kern w:val="0"/>
          <w:sz w:val="28"/>
          <w:szCs w:val="28"/>
        </w:rPr>
        <w:t>期</w:t>
      </w:r>
      <w:r w:rsidRPr="006F593E">
        <w:rPr>
          <w:rFonts w:ascii="宋体" w:hAnsi="宋体" w:cs="宋体" w:hint="eastAsia"/>
          <w:kern w:val="0"/>
          <w:sz w:val="28"/>
          <w:szCs w:val="28"/>
        </w:rPr>
        <w:t>：</w:t>
      </w:r>
      <w:r w:rsidR="00001F5A" w:rsidRPr="006F593E">
        <w:rPr>
          <w:rFonts w:ascii="宋体" w:hAnsi="宋体" w:cs="宋体" w:hint="eastAsia"/>
          <w:kern w:val="0"/>
          <w:sz w:val="28"/>
          <w:szCs w:val="28"/>
        </w:rPr>
        <w:t>整机（含附件）</w:t>
      </w:r>
      <w:r w:rsidR="00B733D4" w:rsidRPr="006F593E">
        <w:rPr>
          <w:rFonts w:ascii="宋体" w:hAnsi="宋体" w:cs="Courier New"/>
          <w:spacing w:val="2"/>
          <w:sz w:val="28"/>
          <w:szCs w:val="28"/>
        </w:rPr>
        <w:t>≥</w:t>
      </w:r>
      <w:r w:rsidR="003A6554" w:rsidRPr="006F593E">
        <w:rPr>
          <w:rFonts w:ascii="宋体" w:hAnsi="宋体" w:cs="宋体" w:hint="eastAsia"/>
          <w:kern w:val="0"/>
          <w:sz w:val="28"/>
          <w:szCs w:val="28"/>
        </w:rPr>
        <w:t>2</w:t>
      </w:r>
      <w:r w:rsidRPr="006F593E">
        <w:rPr>
          <w:rFonts w:ascii="宋体" w:hAnsi="宋体" w:cs="宋体" w:hint="eastAsia"/>
          <w:kern w:val="0"/>
          <w:sz w:val="28"/>
          <w:szCs w:val="28"/>
        </w:rPr>
        <w:t>年</w:t>
      </w:r>
    </w:p>
    <w:p w:rsidR="00B26B6F" w:rsidRPr="006F593E" w:rsidRDefault="00086720" w:rsidP="00B26B6F">
      <w:pPr>
        <w:ind w:firstLineChars="200" w:firstLine="560"/>
        <w:jc w:val="left"/>
        <w:rPr>
          <w:rFonts w:ascii="宋体" w:hAnsi="宋体" w:cs="宋体"/>
          <w:kern w:val="0"/>
          <w:sz w:val="28"/>
          <w:szCs w:val="28"/>
        </w:rPr>
      </w:pPr>
      <w:r w:rsidRPr="006F593E">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6F593E" w:rsidRDefault="006A2171" w:rsidP="00895726">
            <w:pPr>
              <w:spacing w:line="460" w:lineRule="exact"/>
              <w:rPr>
                <w:rFonts w:ascii="宋体" w:hAnsi="宋体"/>
                <w:sz w:val="24"/>
                <w:szCs w:val="24"/>
              </w:rPr>
            </w:pPr>
            <w:r w:rsidRPr="006F593E">
              <w:rPr>
                <w:rFonts w:ascii="宋体" w:hAnsi="宋体"/>
                <w:sz w:val="24"/>
                <w:szCs w:val="24"/>
              </w:rPr>
              <w:t>企业资格证及产品注册证</w:t>
            </w:r>
          </w:p>
        </w:tc>
        <w:tc>
          <w:tcPr>
            <w:tcW w:w="4586" w:type="dxa"/>
            <w:tcBorders>
              <w:left w:val="single" w:sz="4" w:space="0" w:color="auto"/>
            </w:tcBorders>
            <w:vAlign w:val="center"/>
          </w:tcPr>
          <w:p w:rsidR="00BD48D8" w:rsidRPr="00903433" w:rsidRDefault="00895726" w:rsidP="00210978">
            <w:pPr>
              <w:spacing w:line="460" w:lineRule="exact"/>
              <w:rPr>
                <w:rFonts w:ascii="宋体" w:hAnsi="宋体"/>
                <w:color w:val="FF0000"/>
                <w:sz w:val="24"/>
                <w:szCs w:val="24"/>
                <w:highlight w:val="green"/>
              </w:rPr>
            </w:pPr>
            <w:r w:rsidRPr="0050042D">
              <w:rPr>
                <w:rFonts w:ascii="宋体" w:hAnsi="宋体" w:hint="eastAsia"/>
                <w:sz w:val="24"/>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lastRenderedPageBreak/>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F55C77" w:rsidP="006A2171">
            <w:pPr>
              <w:spacing w:line="360" w:lineRule="exact"/>
              <w:jc w:val="left"/>
              <w:rPr>
                <w:rFonts w:ascii="宋体" w:hAnsi="宋体"/>
                <w:sz w:val="24"/>
              </w:rPr>
            </w:pPr>
            <w:r>
              <w:rPr>
                <w:rFonts w:ascii="宋体" w:hAnsi="宋体" w:hint="eastAsia"/>
                <w:sz w:val="24"/>
              </w:rPr>
              <w:t>45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8F4E68">
              <w:rPr>
                <w:rFonts w:ascii="宋体" w:hAnsi="宋体" w:hint="eastAsia"/>
                <w:sz w:val="24"/>
              </w:rPr>
              <w:t>5</w:t>
            </w:r>
            <w:r w:rsidRPr="006A2171">
              <w:rPr>
                <w:rFonts w:ascii="宋体" w:hAnsi="宋体" w:hint="eastAsia"/>
                <w:sz w:val="24"/>
              </w:rPr>
              <w:t>0分，最低得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w:t>
            </w:r>
            <w:r w:rsidR="0050042D">
              <w:rPr>
                <w:rFonts w:ascii="宋体" w:hAnsi="宋体" w:hint="eastAsia"/>
                <w:sz w:val="24"/>
              </w:rPr>
              <w:t>2</w:t>
            </w:r>
            <w:r w:rsidRPr="006A2171">
              <w:rPr>
                <w:rFonts w:ascii="宋体" w:hAnsi="宋体" w:hint="eastAsia"/>
                <w:sz w:val="24"/>
              </w:rPr>
              <w:t>分；</w:t>
            </w:r>
          </w:p>
          <w:p w:rsidR="00B733D4" w:rsidRPr="006A2171" w:rsidRDefault="000B0D38" w:rsidP="0050042D">
            <w:pPr>
              <w:spacing w:line="360" w:lineRule="exact"/>
              <w:jc w:val="left"/>
              <w:rPr>
                <w:rFonts w:ascii="宋体" w:hAnsi="宋体"/>
                <w:sz w:val="24"/>
              </w:rPr>
            </w:pPr>
            <w:r w:rsidRPr="006A2171">
              <w:rPr>
                <w:rFonts w:ascii="宋体" w:hAnsi="宋体" w:hint="eastAsia"/>
                <w:sz w:val="24"/>
              </w:rPr>
              <w:t>3、标注“*”号的关键技术参数低于采购要求的，每一项减</w:t>
            </w:r>
            <w:r w:rsidR="0050042D">
              <w:rPr>
                <w:rFonts w:ascii="宋体" w:hAnsi="宋体" w:hint="eastAsia"/>
                <w:sz w:val="24"/>
              </w:rPr>
              <w:t>5</w:t>
            </w:r>
            <w:r w:rsidRPr="006A2171">
              <w:rPr>
                <w:rFonts w:ascii="宋体" w:hAnsi="宋体" w:hint="eastAsia"/>
                <w:sz w:val="24"/>
              </w:rPr>
              <w:t>分</w:t>
            </w:r>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F55C77" w:rsidP="006A2171">
            <w:pPr>
              <w:spacing w:line="360" w:lineRule="exact"/>
              <w:jc w:val="left"/>
              <w:rPr>
                <w:rFonts w:ascii="宋体" w:hAnsi="宋体"/>
                <w:sz w:val="24"/>
              </w:rPr>
            </w:pPr>
            <w:r>
              <w:rPr>
                <w:rFonts w:ascii="宋体" w:hAnsi="宋体" w:hint="eastAsia"/>
                <w:sz w:val="24"/>
              </w:rPr>
              <w:t>40</w:t>
            </w:r>
            <w:r w:rsidR="00B733D4"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50042D">
              <w:rPr>
                <w:rFonts w:ascii="宋体" w:hAnsi="宋体" w:hint="eastAsia"/>
                <w:sz w:val="24"/>
              </w:rPr>
              <w:t>35</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50042D">
            <w:pPr>
              <w:spacing w:line="360" w:lineRule="exact"/>
              <w:jc w:val="left"/>
              <w:rPr>
                <w:rFonts w:ascii="宋体" w:hAnsi="宋体"/>
                <w:sz w:val="24"/>
              </w:rPr>
            </w:pPr>
            <w:r w:rsidRPr="006A2171">
              <w:rPr>
                <w:rFonts w:ascii="宋体" w:hAnsi="宋体" w:hint="eastAsia"/>
                <w:sz w:val="24"/>
              </w:rPr>
              <w:t>投标报价得分=(评标基准价／投标报价)×价格权值（</w:t>
            </w:r>
            <w:r w:rsidR="0050042D">
              <w:rPr>
                <w:rFonts w:ascii="宋体" w:hAnsi="宋体" w:hint="eastAsia"/>
                <w:sz w:val="24"/>
              </w:rPr>
              <w:t>35</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2"/>
      <w:r>
        <w:rPr>
          <w:rFonts w:hint="eastAsia"/>
        </w:rPr>
        <w:lastRenderedPageBreak/>
        <w:t>投标</w:t>
      </w:r>
      <w:r w:rsidRPr="00A71A57">
        <w:rPr>
          <w:rFonts w:hint="eastAsia"/>
        </w:rPr>
        <w:t>文件</w:t>
      </w:r>
      <w:bookmarkEnd w:id="3"/>
      <w:bookmarkEnd w:id="4"/>
      <w:bookmarkEnd w:id="5"/>
      <w:bookmarkEnd w:id="6"/>
      <w:bookmarkEnd w:id="7"/>
      <w:bookmarkEnd w:id="8"/>
      <w:bookmarkEnd w:id="9"/>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729" w:rsidRDefault="00C34729" w:rsidP="00D3588F">
      <w:pPr>
        <w:rPr>
          <w:rFonts w:cs="Times New Roman"/>
        </w:rPr>
      </w:pPr>
      <w:r>
        <w:rPr>
          <w:rFonts w:cs="Times New Roman"/>
        </w:rPr>
        <w:separator/>
      </w:r>
    </w:p>
  </w:endnote>
  <w:endnote w:type="continuationSeparator" w:id="0">
    <w:p w:rsidR="00C34729" w:rsidRDefault="00C3472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729" w:rsidRDefault="00C34729" w:rsidP="00D3588F">
      <w:pPr>
        <w:rPr>
          <w:rFonts w:cs="Times New Roman"/>
        </w:rPr>
      </w:pPr>
      <w:r>
        <w:rPr>
          <w:rFonts w:cs="Times New Roman"/>
        </w:rPr>
        <w:separator/>
      </w:r>
    </w:p>
  </w:footnote>
  <w:footnote w:type="continuationSeparator" w:id="0">
    <w:p w:rsidR="00C34729" w:rsidRDefault="00C3472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80"/>
        </w:tabs>
        <w:ind w:left="680" w:hanging="680"/>
      </w:pPr>
      <w:rPr>
        <w:rFonts w:ascii="Arial" w:hAnsi="Arial" w:cs="Arial" w:hint="default"/>
        <w:b/>
      </w:rPr>
    </w:lvl>
    <w:lvl w:ilvl="2">
      <w:start w:val="1"/>
      <w:numFmt w:val="decimal"/>
      <w:lvlText w:val="%3."/>
      <w:lvlJc w:val="left"/>
      <w:pPr>
        <w:tabs>
          <w:tab w:val="num" w:pos="510"/>
        </w:tabs>
        <w:ind w:left="510" w:hanging="510"/>
      </w:pPr>
      <w:rPr>
        <w:rFonts w:ascii="Arial" w:hAnsi="Arial" w:cs="Arial"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185D"/>
    <w:rsid w:val="00001F5A"/>
    <w:rsid w:val="00002DB5"/>
    <w:rsid w:val="0000387A"/>
    <w:rsid w:val="0000495B"/>
    <w:rsid w:val="00007904"/>
    <w:rsid w:val="00022937"/>
    <w:rsid w:val="00024206"/>
    <w:rsid w:val="000276BE"/>
    <w:rsid w:val="00033077"/>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1538"/>
    <w:rsid w:val="001720DE"/>
    <w:rsid w:val="0017380D"/>
    <w:rsid w:val="001836E3"/>
    <w:rsid w:val="001A6270"/>
    <w:rsid w:val="001A74A9"/>
    <w:rsid w:val="001B1AFC"/>
    <w:rsid w:val="001C342D"/>
    <w:rsid w:val="001C42C9"/>
    <w:rsid w:val="001C511C"/>
    <w:rsid w:val="001C5EE8"/>
    <w:rsid w:val="001C66E0"/>
    <w:rsid w:val="001D682D"/>
    <w:rsid w:val="001F17A8"/>
    <w:rsid w:val="001F1AD5"/>
    <w:rsid w:val="001F4223"/>
    <w:rsid w:val="002031FE"/>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A02"/>
    <w:rsid w:val="002E2711"/>
    <w:rsid w:val="002E53E8"/>
    <w:rsid w:val="00301986"/>
    <w:rsid w:val="00301DE8"/>
    <w:rsid w:val="00306D33"/>
    <w:rsid w:val="00310441"/>
    <w:rsid w:val="00311434"/>
    <w:rsid w:val="00311489"/>
    <w:rsid w:val="00312F37"/>
    <w:rsid w:val="0031453A"/>
    <w:rsid w:val="003217B1"/>
    <w:rsid w:val="00326254"/>
    <w:rsid w:val="00331027"/>
    <w:rsid w:val="00334330"/>
    <w:rsid w:val="0034229D"/>
    <w:rsid w:val="00343F61"/>
    <w:rsid w:val="003500BB"/>
    <w:rsid w:val="00350C0A"/>
    <w:rsid w:val="0036316C"/>
    <w:rsid w:val="00365DB2"/>
    <w:rsid w:val="003678FB"/>
    <w:rsid w:val="00372EEC"/>
    <w:rsid w:val="00374FA1"/>
    <w:rsid w:val="003771B9"/>
    <w:rsid w:val="003849CB"/>
    <w:rsid w:val="00386D5E"/>
    <w:rsid w:val="00387D36"/>
    <w:rsid w:val="00390E30"/>
    <w:rsid w:val="00394CBD"/>
    <w:rsid w:val="0039537B"/>
    <w:rsid w:val="003A6554"/>
    <w:rsid w:val="003B3BA4"/>
    <w:rsid w:val="003C0B70"/>
    <w:rsid w:val="003C23B2"/>
    <w:rsid w:val="003C5551"/>
    <w:rsid w:val="003C5713"/>
    <w:rsid w:val="003D5E50"/>
    <w:rsid w:val="003E374C"/>
    <w:rsid w:val="003E41C7"/>
    <w:rsid w:val="003E582E"/>
    <w:rsid w:val="003E6722"/>
    <w:rsid w:val="003F0358"/>
    <w:rsid w:val="003F235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47B7"/>
    <w:rsid w:val="0050042D"/>
    <w:rsid w:val="00503601"/>
    <w:rsid w:val="00521CC1"/>
    <w:rsid w:val="0052240D"/>
    <w:rsid w:val="00524B17"/>
    <w:rsid w:val="005455AF"/>
    <w:rsid w:val="005476AA"/>
    <w:rsid w:val="0055245D"/>
    <w:rsid w:val="00554142"/>
    <w:rsid w:val="005603E9"/>
    <w:rsid w:val="00563340"/>
    <w:rsid w:val="00564A6B"/>
    <w:rsid w:val="0056741D"/>
    <w:rsid w:val="00573DED"/>
    <w:rsid w:val="00576966"/>
    <w:rsid w:val="00586638"/>
    <w:rsid w:val="00596D03"/>
    <w:rsid w:val="005A3835"/>
    <w:rsid w:val="005B302D"/>
    <w:rsid w:val="005B7B08"/>
    <w:rsid w:val="005C0FA3"/>
    <w:rsid w:val="005E28DC"/>
    <w:rsid w:val="005F1DE4"/>
    <w:rsid w:val="005F4601"/>
    <w:rsid w:val="00601A2A"/>
    <w:rsid w:val="00605EDC"/>
    <w:rsid w:val="006212AD"/>
    <w:rsid w:val="006300B6"/>
    <w:rsid w:val="00636391"/>
    <w:rsid w:val="00644CE6"/>
    <w:rsid w:val="00645B11"/>
    <w:rsid w:val="00661044"/>
    <w:rsid w:val="00672A37"/>
    <w:rsid w:val="00673FC6"/>
    <w:rsid w:val="00682114"/>
    <w:rsid w:val="00682CED"/>
    <w:rsid w:val="006864CE"/>
    <w:rsid w:val="00687A6E"/>
    <w:rsid w:val="00694DF5"/>
    <w:rsid w:val="006A2171"/>
    <w:rsid w:val="006A466A"/>
    <w:rsid w:val="006A642F"/>
    <w:rsid w:val="006C50FE"/>
    <w:rsid w:val="006D52F7"/>
    <w:rsid w:val="006E2353"/>
    <w:rsid w:val="006E34F8"/>
    <w:rsid w:val="006F3535"/>
    <w:rsid w:val="006F593E"/>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88A"/>
    <w:rsid w:val="007C614F"/>
    <w:rsid w:val="007C70E7"/>
    <w:rsid w:val="007D49B3"/>
    <w:rsid w:val="007D6174"/>
    <w:rsid w:val="007E5273"/>
    <w:rsid w:val="007E6599"/>
    <w:rsid w:val="007F0561"/>
    <w:rsid w:val="007F5628"/>
    <w:rsid w:val="0080535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8F4E68"/>
    <w:rsid w:val="00903433"/>
    <w:rsid w:val="00903484"/>
    <w:rsid w:val="00914444"/>
    <w:rsid w:val="00917B7E"/>
    <w:rsid w:val="009309C0"/>
    <w:rsid w:val="009375D3"/>
    <w:rsid w:val="009379AB"/>
    <w:rsid w:val="00942F40"/>
    <w:rsid w:val="009450A7"/>
    <w:rsid w:val="0094776F"/>
    <w:rsid w:val="00957A82"/>
    <w:rsid w:val="009730BC"/>
    <w:rsid w:val="00974385"/>
    <w:rsid w:val="009766A2"/>
    <w:rsid w:val="009772A8"/>
    <w:rsid w:val="009818DC"/>
    <w:rsid w:val="00995E9F"/>
    <w:rsid w:val="009A5756"/>
    <w:rsid w:val="009B5DBC"/>
    <w:rsid w:val="009B6E72"/>
    <w:rsid w:val="009B7FB3"/>
    <w:rsid w:val="009C3C8B"/>
    <w:rsid w:val="009F0ABA"/>
    <w:rsid w:val="009F3289"/>
    <w:rsid w:val="009F32C8"/>
    <w:rsid w:val="009F4BB8"/>
    <w:rsid w:val="009F50C2"/>
    <w:rsid w:val="009F59F0"/>
    <w:rsid w:val="009F77E6"/>
    <w:rsid w:val="00A373C9"/>
    <w:rsid w:val="00A4389D"/>
    <w:rsid w:val="00A67374"/>
    <w:rsid w:val="00A7195B"/>
    <w:rsid w:val="00A7245A"/>
    <w:rsid w:val="00A757F9"/>
    <w:rsid w:val="00A90904"/>
    <w:rsid w:val="00A91741"/>
    <w:rsid w:val="00AA7E81"/>
    <w:rsid w:val="00AB2189"/>
    <w:rsid w:val="00AB2203"/>
    <w:rsid w:val="00AB51EA"/>
    <w:rsid w:val="00AC1363"/>
    <w:rsid w:val="00AC2D71"/>
    <w:rsid w:val="00AC3DA6"/>
    <w:rsid w:val="00AC6E4C"/>
    <w:rsid w:val="00AC7115"/>
    <w:rsid w:val="00AD2C0A"/>
    <w:rsid w:val="00AD4795"/>
    <w:rsid w:val="00AD7048"/>
    <w:rsid w:val="00AD7B16"/>
    <w:rsid w:val="00AF356F"/>
    <w:rsid w:val="00AF3791"/>
    <w:rsid w:val="00B13AE6"/>
    <w:rsid w:val="00B25174"/>
    <w:rsid w:val="00B26B6F"/>
    <w:rsid w:val="00B32179"/>
    <w:rsid w:val="00B34EC3"/>
    <w:rsid w:val="00B351DC"/>
    <w:rsid w:val="00B40417"/>
    <w:rsid w:val="00B44BDA"/>
    <w:rsid w:val="00B4611C"/>
    <w:rsid w:val="00B47379"/>
    <w:rsid w:val="00B54BAA"/>
    <w:rsid w:val="00B733D4"/>
    <w:rsid w:val="00B935A2"/>
    <w:rsid w:val="00B95FB1"/>
    <w:rsid w:val="00BA0A7E"/>
    <w:rsid w:val="00BA1976"/>
    <w:rsid w:val="00BA3621"/>
    <w:rsid w:val="00BA6F69"/>
    <w:rsid w:val="00BD07F4"/>
    <w:rsid w:val="00BD3A5D"/>
    <w:rsid w:val="00BD48D8"/>
    <w:rsid w:val="00BD5FBD"/>
    <w:rsid w:val="00BF1806"/>
    <w:rsid w:val="00BF46E7"/>
    <w:rsid w:val="00C03F2B"/>
    <w:rsid w:val="00C174E9"/>
    <w:rsid w:val="00C23175"/>
    <w:rsid w:val="00C25604"/>
    <w:rsid w:val="00C309F7"/>
    <w:rsid w:val="00C34729"/>
    <w:rsid w:val="00C35E6F"/>
    <w:rsid w:val="00C37198"/>
    <w:rsid w:val="00C40604"/>
    <w:rsid w:val="00C567C2"/>
    <w:rsid w:val="00C60BD0"/>
    <w:rsid w:val="00C70B90"/>
    <w:rsid w:val="00C72CD8"/>
    <w:rsid w:val="00C755D3"/>
    <w:rsid w:val="00C82236"/>
    <w:rsid w:val="00C8699A"/>
    <w:rsid w:val="00C94673"/>
    <w:rsid w:val="00C96707"/>
    <w:rsid w:val="00CA12F6"/>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0657"/>
    <w:rsid w:val="00DA29FD"/>
    <w:rsid w:val="00DA3D5C"/>
    <w:rsid w:val="00DA7317"/>
    <w:rsid w:val="00DA748F"/>
    <w:rsid w:val="00DB2674"/>
    <w:rsid w:val="00DB43FA"/>
    <w:rsid w:val="00DB59A6"/>
    <w:rsid w:val="00DC3953"/>
    <w:rsid w:val="00DC654F"/>
    <w:rsid w:val="00DD3C42"/>
    <w:rsid w:val="00DD5E67"/>
    <w:rsid w:val="00DE44FF"/>
    <w:rsid w:val="00DE46B5"/>
    <w:rsid w:val="00DE6E95"/>
    <w:rsid w:val="00DF328A"/>
    <w:rsid w:val="00E12CB9"/>
    <w:rsid w:val="00E253DE"/>
    <w:rsid w:val="00E25BB4"/>
    <w:rsid w:val="00E31918"/>
    <w:rsid w:val="00E36F05"/>
    <w:rsid w:val="00E44DE9"/>
    <w:rsid w:val="00E44F82"/>
    <w:rsid w:val="00E50BF9"/>
    <w:rsid w:val="00E56309"/>
    <w:rsid w:val="00E648DA"/>
    <w:rsid w:val="00E71DA7"/>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55C77"/>
    <w:rsid w:val="00F60263"/>
    <w:rsid w:val="00F61251"/>
    <w:rsid w:val="00F74FCF"/>
    <w:rsid w:val="00F77276"/>
    <w:rsid w:val="00F77DEC"/>
    <w:rsid w:val="00F80722"/>
    <w:rsid w:val="00F80AD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16BC119-C9B6-4B45-AB91-AAAB0351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 w:type="table" w:customStyle="1" w:styleId="10">
    <w:name w:val="网格型1"/>
    <w:basedOn w:val="a1"/>
    <w:next w:val="a7"/>
    <w:uiPriority w:val="39"/>
    <w:rsid w:val="005476AA"/>
    <w:rPr>
      <w:rFonts w:ascii="等线" w:eastAsia="等线" w:hAnsi="等线"/>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
    <w:name w:val="正文-manu"/>
    <w:basedOn w:val="a"/>
    <w:rsid w:val="00365DB2"/>
    <w:pPr>
      <w:spacing w:line="300" w:lineRule="auto"/>
    </w:pPr>
    <w:rPr>
      <w:rFonts w:ascii="Times New Roman" w:hAnsi="Times New Roman" w:cs="Times New Roman"/>
      <w:b/>
      <w:snapToGrid w:val="0"/>
      <w:kern w:val="0"/>
      <w:sz w:val="24"/>
      <w:szCs w:val="20"/>
    </w:rPr>
  </w:style>
  <w:style w:type="paragraph" w:styleId="ae">
    <w:name w:val="Normal Indent"/>
    <w:basedOn w:val="a"/>
    <w:rsid w:val="00365DB2"/>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FA90D-C7BE-41C9-817F-4B0B0073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1</Pages>
  <Words>870</Words>
  <Characters>4959</Characters>
  <Application>Microsoft Office Word</Application>
  <DocSecurity>0</DocSecurity>
  <Lines>41</Lines>
  <Paragraphs>11</Paragraphs>
  <ScaleCrop>false</ScaleCrop>
  <Company>Microsoft</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91</cp:revision>
  <cp:lastPrinted>2018-08-22T03:24:00Z</cp:lastPrinted>
  <dcterms:created xsi:type="dcterms:W3CDTF">2018-08-22T03:26:00Z</dcterms:created>
  <dcterms:modified xsi:type="dcterms:W3CDTF">2021-04-27T03:36:00Z</dcterms:modified>
</cp:coreProperties>
</file>