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ABF7"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0398ED23"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1CCE195B" w14:textId="1701F0EB"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1D2B81" w:rsidRPr="001D2B81">
        <w:rPr>
          <w:rFonts w:ascii="宋体" w:hAnsi="宋体" w:cs="宋体" w:hint="eastAsia"/>
          <w:kern w:val="0"/>
          <w:sz w:val="28"/>
        </w:rPr>
        <w:t>血液内科实验室新增病理报告工作站项目</w:t>
      </w:r>
      <w:r w:rsidRPr="00F53C59">
        <w:rPr>
          <w:rFonts w:ascii="宋体" w:hAnsi="宋体" w:cs="宋体" w:hint="eastAsia"/>
          <w:kern w:val="0"/>
          <w:sz w:val="28"/>
        </w:rPr>
        <w:t>拟采用单一来源方式采购，该项目拟由</w:t>
      </w:r>
      <w:r w:rsidR="0090413F" w:rsidRPr="0090413F">
        <w:rPr>
          <w:rFonts w:ascii="宋体" w:hAnsi="宋体" w:cs="宋体" w:hint="eastAsia"/>
          <w:kern w:val="0"/>
          <w:sz w:val="28"/>
        </w:rPr>
        <w:t>长沙默卡生物科技有限公司</w:t>
      </w:r>
      <w:r w:rsidRPr="00F53C59">
        <w:rPr>
          <w:rFonts w:ascii="宋体" w:hAnsi="宋体" w:cs="宋体" w:hint="eastAsia"/>
          <w:kern w:val="0"/>
          <w:sz w:val="28"/>
        </w:rPr>
        <w:t>提供。现将有关情况向潜在政府采购供应商征求意见，公示内容如下：</w:t>
      </w:r>
    </w:p>
    <w:p w14:paraId="29AF7008" w14:textId="7DA8C85B"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D26A18">
        <w:rPr>
          <w:rFonts w:ascii="宋体" w:hAnsi="宋体" w:cs="宋体"/>
          <w:kern w:val="0"/>
          <w:sz w:val="28"/>
        </w:rPr>
        <w:t>2</w:t>
      </w:r>
      <w:r w:rsidRPr="00132524">
        <w:rPr>
          <w:rFonts w:ascii="宋体" w:hAnsi="宋体" w:cs="宋体"/>
          <w:kern w:val="0"/>
          <w:sz w:val="28"/>
        </w:rPr>
        <w:t>-</w:t>
      </w:r>
      <w:r w:rsidR="001D2B81">
        <w:rPr>
          <w:rFonts w:ascii="宋体" w:hAnsi="宋体" w:cs="宋体"/>
          <w:kern w:val="0"/>
          <w:sz w:val="28"/>
        </w:rPr>
        <w:t>27</w:t>
      </w:r>
    </w:p>
    <w:p w14:paraId="4A69B0AE" w14:textId="4D7E344A"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1D2B81" w:rsidRPr="001D2B81">
        <w:rPr>
          <w:rFonts w:ascii="宋体" w:hAnsi="宋体" w:cs="宋体" w:hint="eastAsia"/>
          <w:kern w:val="0"/>
          <w:sz w:val="28"/>
        </w:rPr>
        <w:t>血液内科实验室新增病理报告工作站项目</w:t>
      </w:r>
    </w:p>
    <w:p w14:paraId="53ABF1E1"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066B2972"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0C99E4DB" w14:textId="77777777"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t>我院正在使用的病理系统是由长沙默卡生物科技有限公司提供的朗珈病理质控和资料管理系统。</w:t>
      </w:r>
    </w:p>
    <w:p w14:paraId="06ED615B" w14:textId="77777777"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t>血液内科实验室目前已开展骨髓细胞学、骨髓病理、外周血涂片和脑脊液细胞学检查业务，只能在不联网的单机版报告系统中录入数据出具相关报告，报告打印签字后由专人送往临床，因此临床医生无法第一时间通过网络的方式查看血液内科审核后的检查报告。为了提升与患者沟通效率，临床对报告时效性提出了更高的要求，希望第一时间查看血液内科审核后的检查报告。</w:t>
      </w:r>
    </w:p>
    <w:p w14:paraId="5BBC9196" w14:textId="77777777"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t>我院病理科建设的朗珈PathQC病理质控与资料管理系统由长沙默卡生物科技有限公司负责开发和维护工作。病理系统对病理科内部流程进行管理的同时，实现病理系统和HIS系统的对接，在病理系统中可提取病人的基本信息，且审核后的报告自动回传给HIS系统，临床可第一时间查看病理检查结果，而血液内科报告与病理报告格式相近，所以希望采购由长沙默卡生物科技有限公司负责开发和维护的朗珈PathQC病理质控与资料管理系统来对血液内科报告发放进行管理，提高报告查阅的时效性。</w:t>
      </w:r>
    </w:p>
    <w:p w14:paraId="6C2A03CD" w14:textId="77777777"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lastRenderedPageBreak/>
        <w:t>本次病理系统建设的对象是我院的血液内科，是在医院的血液内科安装常规报告工作站；定制分子病理报告模板，用于定制骨髓细胞学、骨髓病理、外周血涂片、Her-2等报告模板；血液内科报告系统与全院的HIS系统对接，直接在血液内科系统中提取病人基本信息，并且审核后的报告自动回传给HIS。</w:t>
      </w:r>
    </w:p>
    <w:p w14:paraId="244A0015" w14:textId="2A0E8AC4"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t>希望采购长沙默卡生物科技有限公司维护的病理系统来进行血液内科报告的统一管理</w:t>
      </w:r>
      <w:r>
        <w:rPr>
          <w:rFonts w:ascii="宋体" w:hAnsi="宋体" w:cs="宋体" w:hint="eastAsia"/>
          <w:kern w:val="0"/>
          <w:sz w:val="28"/>
        </w:rPr>
        <w:t>的</w:t>
      </w:r>
      <w:r w:rsidRPr="00B91796">
        <w:rPr>
          <w:rFonts w:ascii="宋体" w:hAnsi="宋体" w:cs="宋体" w:hint="eastAsia"/>
          <w:kern w:val="0"/>
          <w:sz w:val="28"/>
        </w:rPr>
        <w:t>主要理由如下：</w:t>
      </w:r>
    </w:p>
    <w:p w14:paraId="45F1E0D2" w14:textId="77777777"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t>1、长沙默卡生物科技有限公司负责我院病理系统、肾内科报告系统和皮肤科报告系统的开发和运维服务，病理系统与HIS系统及无纸化归档系统都进行了对接，有丰富的院内工作站实施和信息系统对接经验，由长沙默卡生物科技有限公司承建可以缩短实施周期，规避信息系统接口不稳定带来的风险。</w:t>
      </w:r>
    </w:p>
    <w:p w14:paraId="6B4AC528" w14:textId="77777777"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t>2、血液内科的骨髓活检、外周血涂片报告与病理系统常规报告格式相同，同时病理系统常规报告工作站提供诊断标准化工具——结构化报告，可针对血液内科标本，提供套装的标准骨髓细胞学报告模板，医生能快速输出标准要求的骨髓细胞结构化报告，提高工作效率。</w:t>
      </w:r>
    </w:p>
    <w:p w14:paraId="2E7A8CD0" w14:textId="77777777"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t>3、本院病理科、肾内科和皮肤科的报告系统的开发和运维都是长沙默卡生物科技有限公司，后期统一维护效率更高，且统一维护成本更低。</w:t>
      </w:r>
    </w:p>
    <w:p w14:paraId="4630B25D" w14:textId="77777777" w:rsidR="00B91796" w:rsidRPr="00B91796" w:rsidRDefault="00B91796" w:rsidP="00B91796">
      <w:pPr>
        <w:widowControl/>
        <w:spacing w:line="500" w:lineRule="exact"/>
        <w:ind w:firstLineChars="200" w:firstLine="560"/>
        <w:jc w:val="left"/>
        <w:rPr>
          <w:rFonts w:ascii="宋体" w:hAnsi="宋体" w:cs="宋体"/>
          <w:kern w:val="0"/>
          <w:sz w:val="28"/>
        </w:rPr>
      </w:pPr>
      <w:r w:rsidRPr="00B91796">
        <w:rPr>
          <w:rFonts w:ascii="宋体" w:hAnsi="宋体" w:cs="宋体" w:hint="eastAsia"/>
          <w:kern w:val="0"/>
          <w:sz w:val="28"/>
        </w:rPr>
        <w:t>综上所述，新增病理报告工作站属于对现有病理系统进行改造，接入设备模块接口，具有技术的特定性和专一性，非原供应商不能进行。为了保证原有采购项目一致性或者服务配套的要求，需要继续从原供应商处添购。如果另选软件供应商实施病理系统设备接入定制开发服务，势必会增加系统定制开发改造成本，降低服务质量，造成经济损失。选择原有公司能有效提高系统软件定制开发服务质量，可确保系统软件功能的连续性，保证信息安全,更好的服务于用户。</w:t>
      </w:r>
    </w:p>
    <w:p w14:paraId="1FD0CD3A" w14:textId="6CB711BF" w:rsidR="00132524" w:rsidRPr="00F53C59" w:rsidRDefault="00132524" w:rsidP="00B91796">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85DE1E5"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34AFCE08"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577FD974"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5EC61B18"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710A4D6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80830"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6D6EF3E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48EBB6E" w14:textId="0B3A484A"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D26A18">
        <w:rPr>
          <w:rFonts w:ascii="宋体" w:hAnsi="宋体" w:cs="宋体"/>
          <w:sz w:val="28"/>
          <w:szCs w:val="28"/>
        </w:rPr>
        <w:t>2</w:t>
      </w:r>
      <w:r w:rsidR="007418F7">
        <w:rPr>
          <w:rFonts w:ascii="宋体" w:hAnsi="宋体" w:cs="宋体"/>
          <w:sz w:val="28"/>
          <w:szCs w:val="28"/>
        </w:rPr>
        <w:t>-</w:t>
      </w:r>
      <w:r w:rsidR="001D2B81">
        <w:rPr>
          <w:rFonts w:ascii="宋体" w:hAnsi="宋体" w:cs="宋体"/>
          <w:sz w:val="28"/>
          <w:szCs w:val="28"/>
        </w:rPr>
        <w:t>27</w:t>
      </w:r>
    </w:p>
    <w:p w14:paraId="02B949E6" w14:textId="2F61F790" w:rsidR="00162024" w:rsidRPr="00B91796"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ED19AE" w:rsidRPr="001D2B81">
        <w:rPr>
          <w:rFonts w:ascii="宋体" w:hAnsi="宋体" w:cs="宋体" w:hint="eastAsia"/>
          <w:kern w:val="0"/>
          <w:sz w:val="28"/>
        </w:rPr>
        <w:t>血液内科实验室新增病理报告工作站项目</w:t>
      </w:r>
    </w:p>
    <w:p w14:paraId="1954B55A" w14:textId="04E29A08"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B91796" w:rsidRPr="00ED19AE">
        <w:rPr>
          <w:rFonts w:ascii="宋体" w:hAnsi="宋体" w:cs="宋体"/>
          <w:kern w:val="0"/>
          <w:sz w:val="28"/>
          <w:szCs w:val="28"/>
        </w:rPr>
        <w:t>2</w:t>
      </w:r>
      <w:r w:rsidR="003A4C9C" w:rsidRPr="00ED19AE">
        <w:rPr>
          <w:rFonts w:ascii="宋体" w:hAnsi="宋体" w:cs="宋体"/>
          <w:kern w:val="0"/>
          <w:sz w:val="28"/>
          <w:szCs w:val="28"/>
        </w:rPr>
        <w:t>.</w:t>
      </w:r>
      <w:r w:rsidR="00B91796" w:rsidRPr="00ED19AE">
        <w:rPr>
          <w:rFonts w:ascii="宋体" w:hAnsi="宋体" w:cs="宋体"/>
          <w:kern w:val="0"/>
          <w:sz w:val="28"/>
          <w:szCs w:val="28"/>
        </w:rPr>
        <w:t>6</w:t>
      </w:r>
      <w:r w:rsidR="003A4C9C" w:rsidRPr="00ED19AE">
        <w:rPr>
          <w:rFonts w:ascii="宋体" w:hAnsi="宋体" w:cs="宋体" w:hint="eastAsia"/>
          <w:kern w:val="0"/>
          <w:sz w:val="28"/>
          <w:szCs w:val="28"/>
        </w:rPr>
        <w:t>万</w:t>
      </w:r>
      <w:r w:rsidRPr="00ED19AE">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61BE0B66"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52C82065"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628FA273"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38598905" w14:textId="7A2FE0E5" w:rsidR="00132524" w:rsidRDefault="00B91796"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5DEA4A46"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003047E2"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0841E718" w14:textId="77777777"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t>我院正在使用的病理系统是由长沙默卡生物科技有限公司提供的朗珈病理质控和资料管理系统。</w:t>
      </w:r>
    </w:p>
    <w:p w14:paraId="634B267C" w14:textId="77777777"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t>血液内科实验室目前已开展骨髓细胞学、骨髓病理、外周血涂片和脑脊液细胞学检查业务，只能在不联网的单机版报告系统中录入数据出具相关报告，报告打印签字后由专人送往临床，因此临床医生无法第一时间通过网络的方式查看血液内科审核后的检查报告。为了提</w:t>
      </w:r>
      <w:r w:rsidRPr="00B91796">
        <w:rPr>
          <w:rFonts w:ascii="宋体" w:hAnsi="宋体" w:hint="eastAsia"/>
          <w:sz w:val="28"/>
          <w:szCs w:val="28"/>
          <w:lang w:val="zh-CN"/>
        </w:rPr>
        <w:lastRenderedPageBreak/>
        <w:t>升与患者沟通效率，临床对报告时效性提出了更高的要求，希望第一时间查看血液内科审核后的检查报告。</w:t>
      </w:r>
    </w:p>
    <w:p w14:paraId="551047AD" w14:textId="77777777"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t>我院病理科建设的朗珈PathQC病理质控与资料管理系统</w:t>
      </w:r>
      <w:bookmarkStart w:id="1" w:name="_Hlk103759272"/>
      <w:r w:rsidRPr="00B91796">
        <w:rPr>
          <w:rFonts w:ascii="宋体" w:hAnsi="宋体" w:hint="eastAsia"/>
          <w:sz w:val="28"/>
          <w:szCs w:val="28"/>
          <w:lang w:val="zh-CN"/>
        </w:rPr>
        <w:t>由长沙默卡生物科技有限公司负责开发和维护</w:t>
      </w:r>
      <w:bookmarkEnd w:id="1"/>
      <w:r w:rsidRPr="00B91796">
        <w:rPr>
          <w:rFonts w:ascii="宋体" w:hAnsi="宋体" w:hint="eastAsia"/>
          <w:sz w:val="28"/>
          <w:szCs w:val="28"/>
          <w:lang w:val="zh-CN"/>
        </w:rPr>
        <w:t>工作。病理系统对病理科内部流程进行管理的同时，实现病理系统和HIS系统的对接，在病理系统中可提取病人的基本信息，且审核后的报告自动回传给HIS系统，临床可第一时间查看病理检查结果，而血液内科报告与病理报告格式相近，所以希望采购由长沙默卡生物科技有限公司负责开发和维护的朗珈PathQC病理质控与资料管理系统来对血液内科报告发放进行管理，提高报告查阅的时效性。</w:t>
      </w:r>
    </w:p>
    <w:p w14:paraId="0080825D" w14:textId="3425A266"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t>本次病理系统建设的对象是我院的血液内科，是在医院的血液内科安装常规报告工作站；定制分子病理报告模板，用于定制骨髓细胞学、骨髓病理、外周血涂片、Her-2等报告模板；血液内科报告系统与全院的HIS系统对接，直接在血液内科系统中提取病人基本信息，并且审核后的报告自动回传给HIS。</w:t>
      </w:r>
    </w:p>
    <w:p w14:paraId="5D15E14E" w14:textId="51EF6446"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t>希望采购长沙默卡生物科技有限公司维护的病理系统来进行血液内科报告的统一管理</w:t>
      </w:r>
      <w:r>
        <w:rPr>
          <w:rFonts w:ascii="宋体" w:hAnsi="宋体" w:hint="eastAsia"/>
          <w:sz w:val="28"/>
          <w:szCs w:val="28"/>
          <w:lang w:val="zh-CN"/>
        </w:rPr>
        <w:t>的</w:t>
      </w:r>
      <w:r w:rsidRPr="00B91796">
        <w:rPr>
          <w:rFonts w:ascii="宋体" w:hAnsi="宋体" w:hint="eastAsia"/>
          <w:sz w:val="28"/>
          <w:szCs w:val="28"/>
          <w:lang w:val="zh-CN"/>
        </w:rPr>
        <w:t>主要理由如下：</w:t>
      </w:r>
    </w:p>
    <w:p w14:paraId="2B715E08" w14:textId="77777777"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t>1、长沙默卡生物科技有限公司负责我院病理系统、肾内科报告系统和皮肤科报告系统的开发和运维服务，病理系统与HIS系统及无纸化归档系统都进行了对接，有丰富的院内工作站实施和信息系统对接经验，由长沙默卡生物科技有限公司承建可以缩短实施周期，规避信息系统接口不稳定带来的风险。</w:t>
      </w:r>
    </w:p>
    <w:p w14:paraId="37311F0A" w14:textId="77777777"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t>2、血液内科的骨髓活检、外周血涂片报告与病理系统常规报告格式相同，同时病理系统常规报告工作站提供诊断标准化工具——结构化报告，可针对血液内科标本，提供套装的标准骨髓细胞学报告模板，医生能快速输出标准要求的骨髓细胞结构化报告，提高工作效率。</w:t>
      </w:r>
    </w:p>
    <w:p w14:paraId="72809D12" w14:textId="77777777"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lastRenderedPageBreak/>
        <w:t>3、本院病理科、肾内科和皮肤科的报告系统的开发和运维都是长沙默卡生物科技有限公司，后期统一维护效率更高，且统一维护成本更低。</w:t>
      </w:r>
    </w:p>
    <w:p w14:paraId="4B169E98" w14:textId="77777777" w:rsidR="00B91796" w:rsidRPr="00B91796" w:rsidRDefault="00B91796" w:rsidP="00B91796">
      <w:pPr>
        <w:widowControl/>
        <w:spacing w:line="500" w:lineRule="exact"/>
        <w:ind w:firstLineChars="200" w:firstLine="560"/>
        <w:rPr>
          <w:rFonts w:ascii="宋体" w:hAnsi="宋体"/>
          <w:sz w:val="28"/>
          <w:szCs w:val="28"/>
          <w:lang w:val="zh-CN"/>
        </w:rPr>
      </w:pPr>
      <w:r w:rsidRPr="00B91796">
        <w:rPr>
          <w:rFonts w:ascii="宋体" w:hAnsi="宋体" w:hint="eastAsia"/>
          <w:sz w:val="28"/>
          <w:szCs w:val="28"/>
          <w:lang w:val="zh-CN"/>
        </w:rPr>
        <w:t>综上所述，新增病理报告工作站属于对现有病理系统进行改造，接入设备模块接口，具有技术的特定性和专一性，非原供应商不能进行。为了保证原有采购项目一致性或者服务配套的要求，需要继续从原供应商处添购。如果另选软件供应商实施病理系统设备接入定制开发服务，势必会增加系统定制开发改造成本，降低服务质量，造成经济损失。选择原有公司能有效提高系统软件定制开发服务质量，可确保系统软件功能的连续性，保证信息安全,更好的服务于用户。</w:t>
      </w:r>
    </w:p>
    <w:p w14:paraId="30E668B2" w14:textId="77777777" w:rsidR="00B91796" w:rsidRDefault="00B91796" w:rsidP="00132524">
      <w:pPr>
        <w:widowControl/>
        <w:spacing w:line="500" w:lineRule="exact"/>
        <w:jc w:val="left"/>
        <w:rPr>
          <w:rFonts w:ascii="宋体" w:hAnsi="宋体" w:cs="宋体"/>
          <w:bCs/>
          <w:color w:val="FF0000"/>
          <w:kern w:val="0"/>
          <w:sz w:val="28"/>
          <w:szCs w:val="28"/>
        </w:rPr>
      </w:pPr>
    </w:p>
    <w:p w14:paraId="29171DBB" w14:textId="19D3B538"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089C728"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3C091947"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A07C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55F9F4C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7130492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6473A60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3B619D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71BC73E0"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41B950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71311E62" w14:textId="71B7EE3D" w:rsidR="00132524" w:rsidRPr="007238B1" w:rsidRDefault="00B91796" w:rsidP="00AE1231">
            <w:pPr>
              <w:pStyle w:val="aa"/>
              <w:tabs>
                <w:tab w:val="left" w:pos="3300"/>
                <w:tab w:val="left" w:pos="3630"/>
              </w:tabs>
              <w:contextualSpacing/>
              <w:jc w:val="center"/>
              <w:rPr>
                <w:rFonts w:hAnsi="宋体"/>
                <w:spacing w:val="2"/>
                <w:sz w:val="28"/>
                <w:szCs w:val="28"/>
              </w:rPr>
            </w:pPr>
            <w:r w:rsidRPr="0090413F">
              <w:rPr>
                <w:rFonts w:hAnsi="宋体" w:cs="宋体" w:hint="eastAsia"/>
                <w:kern w:val="0"/>
                <w:sz w:val="28"/>
              </w:rPr>
              <w:t>病理报告工作站</w:t>
            </w:r>
          </w:p>
        </w:tc>
        <w:tc>
          <w:tcPr>
            <w:tcW w:w="1659" w:type="dxa"/>
            <w:tcBorders>
              <w:top w:val="nil"/>
              <w:left w:val="nil"/>
              <w:bottom w:val="single" w:sz="4" w:space="0" w:color="auto"/>
              <w:right w:val="single" w:sz="4" w:space="0" w:color="auto"/>
            </w:tcBorders>
            <w:shd w:val="clear" w:color="000000" w:fill="FFFFFF"/>
            <w:vAlign w:val="center"/>
          </w:tcPr>
          <w:p w14:paraId="04678493" w14:textId="1766C2B6" w:rsidR="00132524" w:rsidRPr="007238B1" w:rsidRDefault="00B91796"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14:paraId="1255AF55" w14:textId="41893E94" w:rsidR="00132524" w:rsidRPr="007238B1" w:rsidRDefault="009255E9" w:rsidP="00AE1231">
            <w:pPr>
              <w:pStyle w:val="aa"/>
              <w:tabs>
                <w:tab w:val="left" w:pos="3300"/>
                <w:tab w:val="left" w:pos="3630"/>
              </w:tabs>
              <w:contextualSpacing/>
              <w:jc w:val="center"/>
              <w:rPr>
                <w:rFonts w:hAnsi="宋体"/>
                <w:spacing w:val="2"/>
                <w:sz w:val="28"/>
                <w:szCs w:val="28"/>
              </w:rPr>
            </w:pPr>
            <w:r>
              <w:rPr>
                <w:rFonts w:hAnsi="宋体"/>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14:paraId="7C33FEA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61D71E73"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4961"/>
        <w:gridCol w:w="912"/>
      </w:tblGrid>
      <w:tr w:rsidR="00132524" w:rsidRPr="007238B1" w14:paraId="10AB3248"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81B3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75F9B77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4961" w:type="dxa"/>
            <w:tcBorders>
              <w:top w:val="single" w:sz="4" w:space="0" w:color="auto"/>
              <w:left w:val="nil"/>
              <w:bottom w:val="single" w:sz="4" w:space="0" w:color="auto"/>
              <w:right w:val="single" w:sz="4" w:space="0" w:color="auto"/>
            </w:tcBorders>
            <w:shd w:val="clear" w:color="auto" w:fill="auto"/>
            <w:noWrap/>
            <w:vAlign w:val="center"/>
          </w:tcPr>
          <w:p w14:paraId="08014FCB"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355ECB54"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C97993" w:rsidRPr="007238B1" w14:paraId="550BD19A" w14:textId="77777777" w:rsidTr="00AA7DE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2B4A2B1" w14:textId="77777777" w:rsidR="00C97993" w:rsidRPr="007238B1" w:rsidRDefault="00C97993" w:rsidP="00C9799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vMerge w:val="restart"/>
            <w:tcBorders>
              <w:top w:val="nil"/>
              <w:left w:val="nil"/>
              <w:right w:val="single" w:sz="4" w:space="0" w:color="auto"/>
            </w:tcBorders>
            <w:shd w:val="clear" w:color="000000" w:fill="FFFFFF"/>
            <w:vAlign w:val="center"/>
          </w:tcPr>
          <w:p w14:paraId="36D20C0F" w14:textId="3BAA24C4" w:rsidR="00C97993" w:rsidRPr="007238B1" w:rsidRDefault="00C97993" w:rsidP="00C97993">
            <w:pPr>
              <w:pStyle w:val="aa"/>
              <w:tabs>
                <w:tab w:val="left" w:pos="3300"/>
                <w:tab w:val="left" w:pos="3630"/>
              </w:tabs>
              <w:contextualSpacing/>
              <w:jc w:val="center"/>
              <w:rPr>
                <w:rFonts w:hAnsi="宋体"/>
                <w:spacing w:val="2"/>
                <w:sz w:val="28"/>
                <w:szCs w:val="28"/>
              </w:rPr>
            </w:pPr>
            <w:r w:rsidRPr="0090413F">
              <w:rPr>
                <w:rFonts w:hAnsi="宋体" w:cs="宋体" w:hint="eastAsia"/>
                <w:kern w:val="0"/>
                <w:sz w:val="28"/>
              </w:rPr>
              <w:t>病理报告工作站</w:t>
            </w:r>
          </w:p>
        </w:tc>
        <w:tc>
          <w:tcPr>
            <w:tcW w:w="4961" w:type="dxa"/>
            <w:tcBorders>
              <w:top w:val="nil"/>
              <w:left w:val="nil"/>
              <w:bottom w:val="single" w:sz="4" w:space="0" w:color="auto"/>
              <w:right w:val="single" w:sz="4" w:space="0" w:color="auto"/>
            </w:tcBorders>
            <w:shd w:val="clear" w:color="000000" w:fill="FFFFFF"/>
            <w:vAlign w:val="center"/>
          </w:tcPr>
          <w:p w14:paraId="33257849" w14:textId="6EC6B544"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可查看病例的基本信息、临床诊断信息、大体标本的照片和描述、取材的明细记录等内容。录入镜下所见、病理诊断、免疫组化结果、液基细胞学等诊断报告项目。报告常用词、报告格式自定义功能。</w:t>
            </w:r>
          </w:p>
        </w:tc>
        <w:tc>
          <w:tcPr>
            <w:tcW w:w="912" w:type="dxa"/>
            <w:tcBorders>
              <w:top w:val="nil"/>
              <w:left w:val="nil"/>
              <w:bottom w:val="single" w:sz="4" w:space="0" w:color="auto"/>
              <w:right w:val="single" w:sz="4" w:space="0" w:color="auto"/>
            </w:tcBorders>
            <w:shd w:val="clear" w:color="auto" w:fill="auto"/>
            <w:vAlign w:val="center"/>
          </w:tcPr>
          <w:p w14:paraId="3F846462" w14:textId="77777777" w:rsidR="00C97993" w:rsidRPr="007238B1" w:rsidRDefault="00C97993" w:rsidP="00C9799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97993" w:rsidRPr="007238B1" w14:paraId="54A7A766"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174DE28" w14:textId="77777777" w:rsidR="00C97993" w:rsidRPr="007238B1" w:rsidRDefault="00C97993" w:rsidP="00C9799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vMerge/>
            <w:tcBorders>
              <w:left w:val="nil"/>
              <w:right w:val="single" w:sz="4" w:space="0" w:color="auto"/>
            </w:tcBorders>
            <w:shd w:val="clear" w:color="000000" w:fill="FFFFFF"/>
            <w:vAlign w:val="center"/>
          </w:tcPr>
          <w:p w14:paraId="3B7B7CDF"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0B7256C6" w14:textId="5824E085"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使用光学摄像头或带标准TWAIN32接口的数码摄像头，可实时浏览、采集和保存镜下图像，可对图像进行多种处理、测量、标注功能。</w:t>
            </w:r>
          </w:p>
        </w:tc>
        <w:tc>
          <w:tcPr>
            <w:tcW w:w="912" w:type="dxa"/>
            <w:tcBorders>
              <w:top w:val="single" w:sz="4" w:space="0" w:color="auto"/>
              <w:left w:val="nil"/>
              <w:bottom w:val="single" w:sz="4" w:space="0" w:color="auto"/>
              <w:right w:val="single" w:sz="4" w:space="0" w:color="auto"/>
            </w:tcBorders>
            <w:shd w:val="clear" w:color="auto" w:fill="auto"/>
            <w:vAlign w:val="center"/>
          </w:tcPr>
          <w:p w14:paraId="3C77A2A7" w14:textId="77777777" w:rsidR="00C97993" w:rsidRPr="007238B1" w:rsidRDefault="00C97993" w:rsidP="00C9799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97993" w:rsidRPr="007238B1" w14:paraId="20A8396C"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9B26F69" w14:textId="45DF38F4"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vMerge/>
            <w:tcBorders>
              <w:left w:val="nil"/>
              <w:right w:val="single" w:sz="4" w:space="0" w:color="auto"/>
            </w:tcBorders>
            <w:shd w:val="clear" w:color="000000" w:fill="FFFFFF"/>
            <w:vAlign w:val="center"/>
          </w:tcPr>
          <w:p w14:paraId="4D690F0C"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52731B98" w14:textId="19C64109" w:rsidR="00C97993" w:rsidRPr="007238B1" w:rsidRDefault="00C97993" w:rsidP="00C97993">
            <w:pPr>
              <w:pStyle w:val="aa"/>
              <w:tabs>
                <w:tab w:val="left" w:pos="3300"/>
                <w:tab w:val="left" w:pos="3630"/>
              </w:tabs>
              <w:contextualSpacing/>
              <w:jc w:val="left"/>
              <w:rPr>
                <w:rFonts w:hAnsi="宋体"/>
                <w:spacing w:val="2"/>
                <w:sz w:val="28"/>
                <w:szCs w:val="28"/>
              </w:rPr>
            </w:pPr>
            <w:r w:rsidRPr="00D51329">
              <w:rPr>
                <w:rFonts w:hAnsi="宋体" w:hint="eastAsia"/>
                <w:bCs/>
              </w:rPr>
              <w:t>根据登录用户身份，自动提示“我的未审核报告”、“我的未打印报告”、“我的未写报告”、“我的延期报告”</w:t>
            </w:r>
            <w:r>
              <w:rPr>
                <w:rFonts w:hAnsi="宋体" w:hint="eastAsia"/>
                <w:bCs/>
              </w:rPr>
              <w:t>、“我的申请复片”、“我的待复片”、</w:t>
            </w:r>
            <w:r w:rsidRPr="00D51329">
              <w:rPr>
                <w:rFonts w:hAnsi="宋体" w:hint="eastAsia"/>
                <w:bCs/>
              </w:rPr>
              <w:t>“我的收藏夹”、“科内会诊”、“需随访病例”等列表。</w:t>
            </w:r>
          </w:p>
        </w:tc>
        <w:tc>
          <w:tcPr>
            <w:tcW w:w="912" w:type="dxa"/>
            <w:tcBorders>
              <w:top w:val="single" w:sz="4" w:space="0" w:color="auto"/>
              <w:left w:val="nil"/>
              <w:bottom w:val="single" w:sz="4" w:space="0" w:color="auto"/>
              <w:right w:val="single" w:sz="4" w:space="0" w:color="auto"/>
            </w:tcBorders>
            <w:shd w:val="clear" w:color="auto" w:fill="auto"/>
            <w:vAlign w:val="center"/>
          </w:tcPr>
          <w:p w14:paraId="24F68710"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60713939"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118DDC2" w14:textId="1F98B45C"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vMerge/>
            <w:tcBorders>
              <w:left w:val="nil"/>
              <w:right w:val="single" w:sz="4" w:space="0" w:color="auto"/>
            </w:tcBorders>
            <w:shd w:val="clear" w:color="000000" w:fill="FFFFFF"/>
            <w:vAlign w:val="center"/>
          </w:tcPr>
          <w:p w14:paraId="120056F6"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3214DC08" w14:textId="65B9AD44" w:rsidR="00C97993" w:rsidRPr="007238B1" w:rsidRDefault="00C97993" w:rsidP="00C97993">
            <w:pPr>
              <w:pStyle w:val="aa"/>
              <w:tabs>
                <w:tab w:val="left" w:pos="3300"/>
                <w:tab w:val="left" w:pos="3630"/>
              </w:tabs>
              <w:contextualSpacing/>
              <w:jc w:val="left"/>
              <w:rPr>
                <w:rFonts w:hAnsi="宋体"/>
                <w:spacing w:val="2"/>
                <w:sz w:val="28"/>
                <w:szCs w:val="28"/>
              </w:rPr>
            </w:pPr>
            <w:r w:rsidRPr="00D51329">
              <w:rPr>
                <w:rFonts w:hAnsi="宋体" w:hint="eastAsia"/>
                <w:bCs/>
              </w:rPr>
              <w:t>自动提示该病例的历史病理结果和同次送检的其他标本检查情况。</w:t>
            </w:r>
            <w:r>
              <w:rPr>
                <w:rFonts w:hAnsi="宋体" w:hint="eastAsia"/>
                <w:bCs/>
              </w:rPr>
              <w:t>除</w:t>
            </w:r>
            <w:r w:rsidRPr="00D51329">
              <w:rPr>
                <w:rFonts w:hAnsi="宋体" w:hint="eastAsia"/>
                <w:bCs/>
              </w:rPr>
              <w:t>“同名检</w:t>
            </w:r>
            <w:r>
              <w:rPr>
                <w:rFonts w:hAnsi="宋体" w:hint="eastAsia"/>
                <w:bCs/>
              </w:rPr>
              <w:t>索”功能外，还能进一步进行住院号、</w:t>
            </w:r>
            <w:r w:rsidRPr="00D51329">
              <w:rPr>
                <w:rFonts w:hAnsi="宋体" w:hint="eastAsia"/>
                <w:bCs/>
              </w:rPr>
              <w:t>病人编号</w:t>
            </w:r>
            <w:r>
              <w:rPr>
                <w:rFonts w:hAnsi="宋体" w:hint="eastAsia"/>
                <w:bCs/>
              </w:rPr>
              <w:t>或身份证号</w:t>
            </w:r>
            <w:r w:rsidRPr="00D51329">
              <w:rPr>
                <w:rFonts w:hAnsi="宋体" w:hint="eastAsia"/>
                <w:bCs/>
              </w:rPr>
              <w:t>的匹配，以准确锁定该病人的检查</w:t>
            </w:r>
            <w:r>
              <w:rPr>
                <w:rFonts w:hAnsi="宋体" w:hint="eastAsia"/>
                <w:bCs/>
              </w:rPr>
              <w:t>记录</w:t>
            </w:r>
            <w:r w:rsidRPr="00D51329">
              <w:rPr>
                <w:rFonts w:hAnsi="宋体" w:hint="eastAsia"/>
                <w:bCs/>
              </w:rPr>
              <w:t>。</w:t>
            </w:r>
          </w:p>
        </w:tc>
        <w:tc>
          <w:tcPr>
            <w:tcW w:w="912" w:type="dxa"/>
            <w:tcBorders>
              <w:top w:val="single" w:sz="4" w:space="0" w:color="auto"/>
              <w:left w:val="nil"/>
              <w:bottom w:val="single" w:sz="4" w:space="0" w:color="auto"/>
              <w:right w:val="single" w:sz="4" w:space="0" w:color="auto"/>
            </w:tcBorders>
            <w:shd w:val="clear" w:color="auto" w:fill="auto"/>
            <w:vAlign w:val="center"/>
          </w:tcPr>
          <w:p w14:paraId="6549EF61"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31A5FB08"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6E40305" w14:textId="404BE2C5"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5</w:t>
            </w:r>
          </w:p>
        </w:tc>
        <w:tc>
          <w:tcPr>
            <w:tcW w:w="2067" w:type="dxa"/>
            <w:vMerge/>
            <w:tcBorders>
              <w:left w:val="nil"/>
              <w:right w:val="single" w:sz="4" w:space="0" w:color="auto"/>
            </w:tcBorders>
            <w:shd w:val="clear" w:color="000000" w:fill="FFFFFF"/>
            <w:vAlign w:val="center"/>
          </w:tcPr>
          <w:p w14:paraId="6454AF3B"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1FD3512A" w14:textId="3F169203"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同一病理号（或冰冻号）不限次数的独立冰冻报告，每一份冰冻报告单独记录收到时间、取材医生、取材块数、制片人、报告医生、审核医生、报告时间等项目，每一份冰冻报告可单独进行审核并提供给临床进行查看。</w:t>
            </w:r>
          </w:p>
        </w:tc>
        <w:tc>
          <w:tcPr>
            <w:tcW w:w="912" w:type="dxa"/>
            <w:tcBorders>
              <w:top w:val="single" w:sz="4" w:space="0" w:color="auto"/>
              <w:left w:val="nil"/>
              <w:bottom w:val="single" w:sz="4" w:space="0" w:color="auto"/>
              <w:right w:val="single" w:sz="4" w:space="0" w:color="auto"/>
            </w:tcBorders>
            <w:shd w:val="clear" w:color="auto" w:fill="auto"/>
            <w:vAlign w:val="center"/>
          </w:tcPr>
          <w:p w14:paraId="08DD6CDC"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6FDE8FEB"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79C23D8" w14:textId="3A4785FE"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vMerge/>
            <w:tcBorders>
              <w:left w:val="nil"/>
              <w:right w:val="single" w:sz="4" w:space="0" w:color="auto"/>
            </w:tcBorders>
            <w:shd w:val="clear" w:color="000000" w:fill="FFFFFF"/>
            <w:vAlign w:val="center"/>
          </w:tcPr>
          <w:p w14:paraId="4C17E950"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4C5E85B7" w14:textId="5FEC519B"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冰冻超时报告可提示医生进行“迟发原因”的输入，可自定义迟发原因并进行下拉框选择。</w:t>
            </w:r>
          </w:p>
        </w:tc>
        <w:tc>
          <w:tcPr>
            <w:tcW w:w="912" w:type="dxa"/>
            <w:tcBorders>
              <w:top w:val="single" w:sz="4" w:space="0" w:color="auto"/>
              <w:left w:val="nil"/>
              <w:bottom w:val="single" w:sz="4" w:space="0" w:color="auto"/>
              <w:right w:val="single" w:sz="4" w:space="0" w:color="auto"/>
            </w:tcBorders>
            <w:shd w:val="clear" w:color="auto" w:fill="auto"/>
            <w:vAlign w:val="center"/>
          </w:tcPr>
          <w:p w14:paraId="613CADA5"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24C42D3A"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84429AD" w14:textId="64EC46B9"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vMerge/>
            <w:tcBorders>
              <w:left w:val="nil"/>
              <w:right w:val="single" w:sz="4" w:space="0" w:color="auto"/>
            </w:tcBorders>
            <w:shd w:val="clear" w:color="000000" w:fill="FFFFFF"/>
            <w:vAlign w:val="center"/>
          </w:tcPr>
          <w:p w14:paraId="79FF9CB3"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5E2B6A79" w14:textId="0803A352"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可按时间段统计术中冰冻的送检例数、送检次数及取材块数。</w:t>
            </w:r>
          </w:p>
        </w:tc>
        <w:tc>
          <w:tcPr>
            <w:tcW w:w="912" w:type="dxa"/>
            <w:tcBorders>
              <w:top w:val="single" w:sz="4" w:space="0" w:color="auto"/>
              <w:left w:val="nil"/>
              <w:bottom w:val="single" w:sz="4" w:space="0" w:color="auto"/>
              <w:right w:val="single" w:sz="4" w:space="0" w:color="auto"/>
            </w:tcBorders>
            <w:shd w:val="clear" w:color="auto" w:fill="auto"/>
            <w:vAlign w:val="center"/>
          </w:tcPr>
          <w:p w14:paraId="42A09014"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69F33CE0"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E7836DB" w14:textId="57622529"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vMerge/>
            <w:tcBorders>
              <w:left w:val="nil"/>
              <w:right w:val="single" w:sz="4" w:space="0" w:color="auto"/>
            </w:tcBorders>
            <w:shd w:val="clear" w:color="000000" w:fill="FFFFFF"/>
            <w:vAlign w:val="center"/>
          </w:tcPr>
          <w:p w14:paraId="74DD4460"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67950864" w14:textId="0E9D2582"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提供“冰冻-石蜡”诊断对照功能。可进行冰冻诊断符合率的统计。</w:t>
            </w:r>
          </w:p>
        </w:tc>
        <w:tc>
          <w:tcPr>
            <w:tcW w:w="912" w:type="dxa"/>
            <w:tcBorders>
              <w:top w:val="single" w:sz="4" w:space="0" w:color="auto"/>
              <w:left w:val="nil"/>
              <w:bottom w:val="single" w:sz="4" w:space="0" w:color="auto"/>
              <w:right w:val="single" w:sz="4" w:space="0" w:color="auto"/>
            </w:tcBorders>
            <w:shd w:val="clear" w:color="auto" w:fill="auto"/>
            <w:vAlign w:val="center"/>
          </w:tcPr>
          <w:p w14:paraId="5B6FC55C"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1C5E9946"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3735124" w14:textId="6B387CB2"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2067" w:type="dxa"/>
            <w:vMerge/>
            <w:tcBorders>
              <w:left w:val="nil"/>
              <w:right w:val="single" w:sz="4" w:space="0" w:color="auto"/>
            </w:tcBorders>
            <w:shd w:val="clear" w:color="000000" w:fill="FFFFFF"/>
            <w:vAlign w:val="center"/>
          </w:tcPr>
          <w:p w14:paraId="69FC9DE7"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1B42A03B" w14:textId="3DB49FDA"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可进行冰冻制片时间的统计。</w:t>
            </w:r>
          </w:p>
        </w:tc>
        <w:tc>
          <w:tcPr>
            <w:tcW w:w="912" w:type="dxa"/>
            <w:tcBorders>
              <w:top w:val="single" w:sz="4" w:space="0" w:color="auto"/>
              <w:left w:val="nil"/>
              <w:bottom w:val="single" w:sz="4" w:space="0" w:color="auto"/>
              <w:right w:val="single" w:sz="4" w:space="0" w:color="auto"/>
            </w:tcBorders>
            <w:shd w:val="clear" w:color="auto" w:fill="auto"/>
            <w:vAlign w:val="center"/>
          </w:tcPr>
          <w:p w14:paraId="6609ADD4"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231EB911"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42AE48C" w14:textId="3E7BA2A5"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0</w:t>
            </w:r>
          </w:p>
        </w:tc>
        <w:tc>
          <w:tcPr>
            <w:tcW w:w="2067" w:type="dxa"/>
            <w:vMerge/>
            <w:tcBorders>
              <w:left w:val="nil"/>
              <w:right w:val="single" w:sz="4" w:space="0" w:color="auto"/>
            </w:tcBorders>
            <w:shd w:val="clear" w:color="000000" w:fill="FFFFFF"/>
            <w:vAlign w:val="center"/>
          </w:tcPr>
          <w:p w14:paraId="2C8ED20F"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7E1D6562" w14:textId="55654DCE"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可进行冰冻报告发放时间的统计，并显示冰冻超时报告的迟发原因。</w:t>
            </w:r>
          </w:p>
        </w:tc>
        <w:tc>
          <w:tcPr>
            <w:tcW w:w="912" w:type="dxa"/>
            <w:tcBorders>
              <w:top w:val="single" w:sz="4" w:space="0" w:color="auto"/>
              <w:left w:val="nil"/>
              <w:bottom w:val="single" w:sz="4" w:space="0" w:color="auto"/>
              <w:right w:val="single" w:sz="4" w:space="0" w:color="auto"/>
            </w:tcBorders>
            <w:shd w:val="clear" w:color="auto" w:fill="auto"/>
            <w:vAlign w:val="center"/>
          </w:tcPr>
          <w:p w14:paraId="48C75BEF"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42FA1D67"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7C9E1F8" w14:textId="3CD6FFC8"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w:t>
            </w:r>
          </w:p>
        </w:tc>
        <w:tc>
          <w:tcPr>
            <w:tcW w:w="2067" w:type="dxa"/>
            <w:vMerge/>
            <w:tcBorders>
              <w:left w:val="nil"/>
              <w:right w:val="single" w:sz="4" w:space="0" w:color="auto"/>
            </w:tcBorders>
            <w:shd w:val="clear" w:color="000000" w:fill="FFFFFF"/>
            <w:vAlign w:val="center"/>
          </w:tcPr>
          <w:p w14:paraId="16EEE2A7"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6579E85F" w14:textId="2A66A8FC"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可查看取材明细列表，在列表中可进行淋巴结转移情况标记，并将标记说明一键快速导入到病理诊断中。</w:t>
            </w:r>
          </w:p>
        </w:tc>
        <w:tc>
          <w:tcPr>
            <w:tcW w:w="912" w:type="dxa"/>
            <w:tcBorders>
              <w:top w:val="single" w:sz="4" w:space="0" w:color="auto"/>
              <w:left w:val="nil"/>
              <w:bottom w:val="single" w:sz="4" w:space="0" w:color="auto"/>
              <w:right w:val="single" w:sz="4" w:space="0" w:color="auto"/>
            </w:tcBorders>
            <w:shd w:val="clear" w:color="auto" w:fill="auto"/>
            <w:vAlign w:val="center"/>
          </w:tcPr>
          <w:p w14:paraId="10D47E33"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6F6E60AD"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046DF13" w14:textId="12BDB3E7"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2</w:t>
            </w:r>
          </w:p>
        </w:tc>
        <w:tc>
          <w:tcPr>
            <w:tcW w:w="2067" w:type="dxa"/>
            <w:vMerge/>
            <w:tcBorders>
              <w:left w:val="nil"/>
              <w:right w:val="single" w:sz="4" w:space="0" w:color="auto"/>
            </w:tcBorders>
            <w:shd w:val="clear" w:color="000000" w:fill="FFFFFF"/>
            <w:vAlign w:val="center"/>
          </w:tcPr>
          <w:p w14:paraId="09E8898A"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38F11800" w14:textId="3F6D9A86"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适应病理报告三级医生负责制，提供定向复片、多级复片功能，初诊意见和复片意见单独保存备查。上级医生可对初诊意见进行结果评价，可以统计复片数和复片准确率。</w:t>
            </w:r>
          </w:p>
        </w:tc>
        <w:tc>
          <w:tcPr>
            <w:tcW w:w="912" w:type="dxa"/>
            <w:tcBorders>
              <w:top w:val="single" w:sz="4" w:space="0" w:color="auto"/>
              <w:left w:val="nil"/>
              <w:bottom w:val="single" w:sz="4" w:space="0" w:color="auto"/>
              <w:right w:val="single" w:sz="4" w:space="0" w:color="auto"/>
            </w:tcBorders>
            <w:shd w:val="clear" w:color="auto" w:fill="auto"/>
            <w:vAlign w:val="center"/>
          </w:tcPr>
          <w:p w14:paraId="14327991"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7F447E4A"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87FC51B" w14:textId="516DF7BE"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3</w:t>
            </w:r>
          </w:p>
        </w:tc>
        <w:tc>
          <w:tcPr>
            <w:tcW w:w="2067" w:type="dxa"/>
            <w:vMerge/>
            <w:tcBorders>
              <w:left w:val="nil"/>
              <w:right w:val="single" w:sz="4" w:space="0" w:color="auto"/>
            </w:tcBorders>
            <w:shd w:val="clear" w:color="000000" w:fill="FFFFFF"/>
            <w:vAlign w:val="center"/>
          </w:tcPr>
          <w:p w14:paraId="58B98B2D"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611D2C9D" w14:textId="20AF9BFB" w:rsidR="00C97993" w:rsidRPr="007238B1" w:rsidRDefault="00C97993" w:rsidP="00C97993">
            <w:pPr>
              <w:pStyle w:val="aa"/>
              <w:tabs>
                <w:tab w:val="left" w:pos="3300"/>
                <w:tab w:val="left" w:pos="3630"/>
              </w:tabs>
              <w:contextualSpacing/>
              <w:jc w:val="left"/>
              <w:rPr>
                <w:rFonts w:hAnsi="宋体"/>
                <w:spacing w:val="2"/>
                <w:sz w:val="28"/>
                <w:szCs w:val="28"/>
              </w:rPr>
            </w:pPr>
            <w:r w:rsidRPr="00730248">
              <w:rPr>
                <w:rFonts w:hint="eastAsia"/>
              </w:rPr>
              <w:t>采用包括TBS2004在内的多种分级报告系统，用户点选选项即可快速输出液基细胞学报告。</w:t>
            </w:r>
          </w:p>
        </w:tc>
        <w:tc>
          <w:tcPr>
            <w:tcW w:w="912" w:type="dxa"/>
            <w:tcBorders>
              <w:top w:val="single" w:sz="4" w:space="0" w:color="auto"/>
              <w:left w:val="nil"/>
              <w:bottom w:val="single" w:sz="4" w:space="0" w:color="auto"/>
              <w:right w:val="single" w:sz="4" w:space="0" w:color="auto"/>
            </w:tcBorders>
            <w:shd w:val="clear" w:color="auto" w:fill="auto"/>
            <w:vAlign w:val="center"/>
          </w:tcPr>
          <w:p w14:paraId="3745791F"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60AE886B"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908FF32" w14:textId="05984BBC"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4</w:t>
            </w:r>
          </w:p>
        </w:tc>
        <w:tc>
          <w:tcPr>
            <w:tcW w:w="2067" w:type="dxa"/>
            <w:vMerge/>
            <w:tcBorders>
              <w:left w:val="nil"/>
              <w:right w:val="single" w:sz="4" w:space="0" w:color="auto"/>
            </w:tcBorders>
            <w:shd w:val="clear" w:color="000000" w:fill="FFFFFF"/>
            <w:vAlign w:val="center"/>
          </w:tcPr>
          <w:p w14:paraId="69330E2F"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66B40600" w14:textId="0BFFB53E"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病理诊断结果冲突监控提示功能：如男性病例出现“宫颈、卵巢等”描述、女性病例出现“阴茎、睾丸等”描述时，系统自动进行弹框提醒。</w:t>
            </w:r>
          </w:p>
        </w:tc>
        <w:tc>
          <w:tcPr>
            <w:tcW w:w="912" w:type="dxa"/>
            <w:tcBorders>
              <w:top w:val="single" w:sz="4" w:space="0" w:color="auto"/>
              <w:left w:val="nil"/>
              <w:bottom w:val="single" w:sz="4" w:space="0" w:color="auto"/>
              <w:right w:val="single" w:sz="4" w:space="0" w:color="auto"/>
            </w:tcBorders>
            <w:shd w:val="clear" w:color="auto" w:fill="auto"/>
            <w:vAlign w:val="center"/>
          </w:tcPr>
          <w:p w14:paraId="2357218B"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2537B10A"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2B4502F" w14:textId="51660DBC"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5</w:t>
            </w:r>
          </w:p>
        </w:tc>
        <w:tc>
          <w:tcPr>
            <w:tcW w:w="2067" w:type="dxa"/>
            <w:vMerge/>
            <w:tcBorders>
              <w:left w:val="nil"/>
              <w:right w:val="single" w:sz="4" w:space="0" w:color="auto"/>
            </w:tcBorders>
            <w:shd w:val="clear" w:color="000000" w:fill="FFFFFF"/>
            <w:vAlign w:val="center"/>
          </w:tcPr>
          <w:p w14:paraId="7A74D058"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6E69C5CA" w14:textId="6BD8C2D1"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 xml:space="preserve"> </w:t>
            </w:r>
            <w:r>
              <w:rPr>
                <w:rFonts w:hAnsi="宋体" w:hint="eastAsia"/>
                <w:bCs/>
              </w:rPr>
              <w:t>病理诊断结果智能匹配提示功能：用户可自定义特殊词汇和相应提示内容，在病理诊断中出现这些词汇时，系统自动进行弹框提示。</w:t>
            </w:r>
          </w:p>
        </w:tc>
        <w:tc>
          <w:tcPr>
            <w:tcW w:w="912" w:type="dxa"/>
            <w:tcBorders>
              <w:top w:val="single" w:sz="4" w:space="0" w:color="auto"/>
              <w:left w:val="nil"/>
              <w:bottom w:val="single" w:sz="4" w:space="0" w:color="auto"/>
              <w:right w:val="single" w:sz="4" w:space="0" w:color="auto"/>
            </w:tcBorders>
            <w:shd w:val="clear" w:color="auto" w:fill="auto"/>
            <w:vAlign w:val="center"/>
          </w:tcPr>
          <w:p w14:paraId="6AD5C01B"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6FB5A8B3"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48F8F64" w14:textId="050942B5"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6</w:t>
            </w:r>
          </w:p>
        </w:tc>
        <w:tc>
          <w:tcPr>
            <w:tcW w:w="2067" w:type="dxa"/>
            <w:vMerge/>
            <w:tcBorders>
              <w:left w:val="nil"/>
              <w:right w:val="single" w:sz="4" w:space="0" w:color="auto"/>
            </w:tcBorders>
            <w:shd w:val="clear" w:color="000000" w:fill="FFFFFF"/>
            <w:vAlign w:val="center"/>
          </w:tcPr>
          <w:p w14:paraId="727CE975"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3D15308E" w14:textId="6A2E66F3" w:rsidR="00C97993" w:rsidRPr="007238B1" w:rsidRDefault="00C97993" w:rsidP="00C97993">
            <w:pPr>
              <w:pStyle w:val="aa"/>
              <w:tabs>
                <w:tab w:val="left" w:pos="3300"/>
                <w:tab w:val="left" w:pos="3630"/>
              </w:tabs>
              <w:contextualSpacing/>
              <w:jc w:val="left"/>
              <w:rPr>
                <w:rFonts w:hAnsi="宋体"/>
                <w:spacing w:val="2"/>
                <w:sz w:val="28"/>
                <w:szCs w:val="28"/>
              </w:rPr>
            </w:pPr>
            <w:r w:rsidRPr="00D51329">
              <w:rPr>
                <w:rFonts w:hAnsi="宋体" w:hint="eastAsia"/>
                <w:bCs/>
              </w:rPr>
              <w:t>可发出内部医嘱要求，包括重切、深切、补取、免疫组化等，发出的内部医嘱在相应的工作站点上有相应提示，可查看内部医嘱相应的执行情况（医嘱状态）和结果。</w:t>
            </w:r>
          </w:p>
        </w:tc>
        <w:tc>
          <w:tcPr>
            <w:tcW w:w="912" w:type="dxa"/>
            <w:tcBorders>
              <w:top w:val="single" w:sz="4" w:space="0" w:color="auto"/>
              <w:left w:val="nil"/>
              <w:bottom w:val="single" w:sz="4" w:space="0" w:color="auto"/>
              <w:right w:val="single" w:sz="4" w:space="0" w:color="auto"/>
            </w:tcBorders>
            <w:shd w:val="clear" w:color="auto" w:fill="auto"/>
            <w:vAlign w:val="center"/>
          </w:tcPr>
          <w:p w14:paraId="70F48595"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3419E53D"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FFC83B0" w14:textId="6A9EB970"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7</w:t>
            </w:r>
          </w:p>
        </w:tc>
        <w:tc>
          <w:tcPr>
            <w:tcW w:w="2067" w:type="dxa"/>
            <w:vMerge/>
            <w:tcBorders>
              <w:left w:val="nil"/>
              <w:right w:val="single" w:sz="4" w:space="0" w:color="auto"/>
            </w:tcBorders>
            <w:shd w:val="clear" w:color="000000" w:fill="FFFFFF"/>
            <w:vAlign w:val="center"/>
          </w:tcPr>
          <w:p w14:paraId="7554DBDD"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5383A0D3" w14:textId="11307290"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rPr>
              <w:t>医生开技术医嘱时，可批量选择蜡块号，来进行批量重切或深切。</w:t>
            </w:r>
          </w:p>
        </w:tc>
        <w:tc>
          <w:tcPr>
            <w:tcW w:w="912" w:type="dxa"/>
            <w:tcBorders>
              <w:top w:val="single" w:sz="4" w:space="0" w:color="auto"/>
              <w:left w:val="nil"/>
              <w:bottom w:val="single" w:sz="4" w:space="0" w:color="auto"/>
              <w:right w:val="single" w:sz="4" w:space="0" w:color="auto"/>
            </w:tcBorders>
            <w:shd w:val="clear" w:color="auto" w:fill="auto"/>
            <w:vAlign w:val="center"/>
          </w:tcPr>
          <w:p w14:paraId="7BBD9C16"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0FD902B5"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07C28B4" w14:textId="4BB15356"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8</w:t>
            </w:r>
          </w:p>
        </w:tc>
        <w:tc>
          <w:tcPr>
            <w:tcW w:w="2067" w:type="dxa"/>
            <w:vMerge/>
            <w:tcBorders>
              <w:left w:val="nil"/>
              <w:right w:val="single" w:sz="4" w:space="0" w:color="auto"/>
            </w:tcBorders>
            <w:shd w:val="clear" w:color="000000" w:fill="FFFFFF"/>
            <w:vAlign w:val="center"/>
          </w:tcPr>
          <w:p w14:paraId="16326F8A"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27EDB50F" w14:textId="0AA7C293"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提供免疫组化预开单及开单审核管理功能。</w:t>
            </w:r>
          </w:p>
        </w:tc>
        <w:tc>
          <w:tcPr>
            <w:tcW w:w="912" w:type="dxa"/>
            <w:tcBorders>
              <w:top w:val="single" w:sz="4" w:space="0" w:color="auto"/>
              <w:left w:val="nil"/>
              <w:bottom w:val="single" w:sz="4" w:space="0" w:color="auto"/>
              <w:right w:val="single" w:sz="4" w:space="0" w:color="auto"/>
            </w:tcBorders>
            <w:shd w:val="clear" w:color="auto" w:fill="auto"/>
            <w:vAlign w:val="center"/>
          </w:tcPr>
          <w:p w14:paraId="6547D591"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078A2FD2"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34983DE" w14:textId="0DBECB5C"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9</w:t>
            </w:r>
          </w:p>
        </w:tc>
        <w:tc>
          <w:tcPr>
            <w:tcW w:w="2067" w:type="dxa"/>
            <w:vMerge/>
            <w:tcBorders>
              <w:left w:val="nil"/>
              <w:right w:val="single" w:sz="4" w:space="0" w:color="auto"/>
            </w:tcBorders>
            <w:shd w:val="clear" w:color="000000" w:fill="FFFFFF"/>
            <w:vAlign w:val="center"/>
          </w:tcPr>
          <w:p w14:paraId="06549246"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757C4ADD" w14:textId="60E04715"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医生开免疫组化医嘱时，系统会自动匹配本科室已开展的标记物项目，</w:t>
            </w:r>
            <w:r>
              <w:rPr>
                <w:rFonts w:hAnsi="宋体" w:hint="eastAsia"/>
              </w:rPr>
              <w:t>如果无此标记物项目，则系统弹出相关提示并阻止开单。</w:t>
            </w:r>
          </w:p>
        </w:tc>
        <w:tc>
          <w:tcPr>
            <w:tcW w:w="912" w:type="dxa"/>
            <w:tcBorders>
              <w:top w:val="single" w:sz="4" w:space="0" w:color="auto"/>
              <w:left w:val="nil"/>
              <w:bottom w:val="single" w:sz="4" w:space="0" w:color="auto"/>
              <w:right w:val="single" w:sz="4" w:space="0" w:color="auto"/>
            </w:tcBorders>
            <w:shd w:val="clear" w:color="auto" w:fill="auto"/>
            <w:vAlign w:val="center"/>
          </w:tcPr>
          <w:p w14:paraId="3C50EC68"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43442415"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BBFBDF7" w14:textId="2909668B"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0</w:t>
            </w:r>
          </w:p>
        </w:tc>
        <w:tc>
          <w:tcPr>
            <w:tcW w:w="2067" w:type="dxa"/>
            <w:vMerge/>
            <w:tcBorders>
              <w:left w:val="nil"/>
              <w:right w:val="single" w:sz="4" w:space="0" w:color="auto"/>
            </w:tcBorders>
            <w:shd w:val="clear" w:color="000000" w:fill="FFFFFF"/>
            <w:vAlign w:val="center"/>
          </w:tcPr>
          <w:p w14:paraId="75E78392"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4DAF65E2" w14:textId="1713EDFD"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可将免疫组化结果快速导入到“特殊检查”、“病理诊断”或“补充报告结果”中，导入时可自定义标记物排序。</w:t>
            </w:r>
          </w:p>
        </w:tc>
        <w:tc>
          <w:tcPr>
            <w:tcW w:w="912" w:type="dxa"/>
            <w:tcBorders>
              <w:top w:val="single" w:sz="4" w:space="0" w:color="auto"/>
              <w:left w:val="nil"/>
              <w:bottom w:val="single" w:sz="4" w:space="0" w:color="auto"/>
              <w:right w:val="single" w:sz="4" w:space="0" w:color="auto"/>
            </w:tcBorders>
            <w:shd w:val="clear" w:color="auto" w:fill="auto"/>
            <w:vAlign w:val="center"/>
          </w:tcPr>
          <w:p w14:paraId="5CE47407"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0C992EA5"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82916EB" w14:textId="35B14541"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2</w:t>
            </w:r>
            <w:r>
              <w:rPr>
                <w:rFonts w:hAnsi="宋体"/>
                <w:spacing w:val="2"/>
                <w:sz w:val="28"/>
                <w:szCs w:val="28"/>
              </w:rPr>
              <w:t>1</w:t>
            </w:r>
          </w:p>
        </w:tc>
        <w:tc>
          <w:tcPr>
            <w:tcW w:w="2067" w:type="dxa"/>
            <w:vMerge/>
            <w:tcBorders>
              <w:left w:val="nil"/>
              <w:right w:val="single" w:sz="4" w:space="0" w:color="auto"/>
            </w:tcBorders>
            <w:shd w:val="clear" w:color="000000" w:fill="FFFFFF"/>
            <w:vAlign w:val="center"/>
          </w:tcPr>
          <w:p w14:paraId="4B60EE51"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60A37510" w14:textId="729DB1F6"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提供同一病理号（或免疫号）不限次数的独立免疫组化补充报告，每一份免疫组化补充报告单独记录报告医生、审核医生、报告时间等项目，每一份免疫组化补充报告可单独进行审核并提供给临床进行查看。</w:t>
            </w:r>
          </w:p>
        </w:tc>
        <w:tc>
          <w:tcPr>
            <w:tcW w:w="912" w:type="dxa"/>
            <w:tcBorders>
              <w:top w:val="single" w:sz="4" w:space="0" w:color="auto"/>
              <w:left w:val="nil"/>
              <w:bottom w:val="single" w:sz="4" w:space="0" w:color="auto"/>
              <w:right w:val="single" w:sz="4" w:space="0" w:color="auto"/>
            </w:tcBorders>
            <w:shd w:val="clear" w:color="auto" w:fill="auto"/>
            <w:vAlign w:val="center"/>
          </w:tcPr>
          <w:p w14:paraId="79CEC645"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4E03AB82"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B9F20DE" w14:textId="50DD104D"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2</w:t>
            </w:r>
          </w:p>
        </w:tc>
        <w:tc>
          <w:tcPr>
            <w:tcW w:w="2067" w:type="dxa"/>
            <w:vMerge/>
            <w:tcBorders>
              <w:left w:val="nil"/>
              <w:right w:val="single" w:sz="4" w:space="0" w:color="auto"/>
            </w:tcBorders>
            <w:shd w:val="clear" w:color="000000" w:fill="FFFFFF"/>
            <w:vAlign w:val="center"/>
          </w:tcPr>
          <w:p w14:paraId="52BCD5F0"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31684A9B" w14:textId="26C12D45"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通过病例状态颜色来标记当前病例在病理科所处的流程状态，如“已登记”、“已取材”、“已包埋”、“已制片”、“已写报告”、“已审核”等。</w:t>
            </w:r>
          </w:p>
        </w:tc>
        <w:tc>
          <w:tcPr>
            <w:tcW w:w="912" w:type="dxa"/>
            <w:tcBorders>
              <w:top w:val="single" w:sz="4" w:space="0" w:color="auto"/>
              <w:left w:val="nil"/>
              <w:bottom w:val="single" w:sz="4" w:space="0" w:color="auto"/>
              <w:right w:val="single" w:sz="4" w:space="0" w:color="auto"/>
            </w:tcBorders>
            <w:shd w:val="clear" w:color="auto" w:fill="auto"/>
            <w:vAlign w:val="center"/>
          </w:tcPr>
          <w:p w14:paraId="0902DDCD"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694163C8"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BC869A6" w14:textId="3693E7C9"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3</w:t>
            </w:r>
          </w:p>
        </w:tc>
        <w:tc>
          <w:tcPr>
            <w:tcW w:w="2067" w:type="dxa"/>
            <w:vMerge/>
            <w:tcBorders>
              <w:left w:val="nil"/>
              <w:right w:val="single" w:sz="4" w:space="0" w:color="auto"/>
            </w:tcBorders>
            <w:shd w:val="clear" w:color="000000" w:fill="FFFFFF"/>
            <w:vAlign w:val="center"/>
          </w:tcPr>
          <w:p w14:paraId="6289E0CA"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5E819D44" w14:textId="5BF27021"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提供报告应发时间管理，用户可自定义不同标本类型对应的报告应发时间，并能自定义接收标本时间分隔点。系统采用特殊颜色来标记“最后一天”、“报告超期”、“报告延期”等报告发放时间状态。</w:t>
            </w:r>
          </w:p>
        </w:tc>
        <w:tc>
          <w:tcPr>
            <w:tcW w:w="912" w:type="dxa"/>
            <w:tcBorders>
              <w:top w:val="single" w:sz="4" w:space="0" w:color="auto"/>
              <w:left w:val="nil"/>
              <w:bottom w:val="single" w:sz="4" w:space="0" w:color="auto"/>
              <w:right w:val="single" w:sz="4" w:space="0" w:color="auto"/>
            </w:tcBorders>
            <w:shd w:val="clear" w:color="auto" w:fill="auto"/>
            <w:vAlign w:val="center"/>
          </w:tcPr>
          <w:p w14:paraId="2D7B2B85"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61E0123F"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C9DE107" w14:textId="3B90AB46"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4</w:t>
            </w:r>
          </w:p>
        </w:tc>
        <w:tc>
          <w:tcPr>
            <w:tcW w:w="2067" w:type="dxa"/>
            <w:vMerge/>
            <w:tcBorders>
              <w:left w:val="nil"/>
              <w:right w:val="single" w:sz="4" w:space="0" w:color="auto"/>
            </w:tcBorders>
            <w:shd w:val="clear" w:color="000000" w:fill="FFFFFF"/>
            <w:vAlign w:val="center"/>
          </w:tcPr>
          <w:p w14:paraId="1FCE7634"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4E996642" w14:textId="072352B2"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开免疫组化等内部医嘱时可指定系统进行报告发放时间到期提醒，同时可打印“缓发报告通知单”。</w:t>
            </w:r>
          </w:p>
        </w:tc>
        <w:tc>
          <w:tcPr>
            <w:tcW w:w="912" w:type="dxa"/>
            <w:tcBorders>
              <w:top w:val="single" w:sz="4" w:space="0" w:color="auto"/>
              <w:left w:val="nil"/>
              <w:bottom w:val="single" w:sz="4" w:space="0" w:color="auto"/>
              <w:right w:val="single" w:sz="4" w:space="0" w:color="auto"/>
            </w:tcBorders>
            <w:shd w:val="clear" w:color="auto" w:fill="auto"/>
            <w:vAlign w:val="center"/>
          </w:tcPr>
          <w:p w14:paraId="6DF4C2BF"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17BEA435"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C28D446" w14:textId="0E152BFD"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5</w:t>
            </w:r>
          </w:p>
        </w:tc>
        <w:tc>
          <w:tcPr>
            <w:tcW w:w="2067" w:type="dxa"/>
            <w:vMerge/>
            <w:tcBorders>
              <w:left w:val="nil"/>
              <w:right w:val="single" w:sz="4" w:space="0" w:color="auto"/>
            </w:tcBorders>
            <w:shd w:val="clear" w:color="000000" w:fill="FFFFFF"/>
            <w:vAlign w:val="center"/>
          </w:tcPr>
          <w:p w14:paraId="75647604"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2A106992" w14:textId="71281F92"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内部医嘱状态可自动关联到“缓发报告原因”，并提供给临床进行查看。</w:t>
            </w:r>
          </w:p>
        </w:tc>
        <w:tc>
          <w:tcPr>
            <w:tcW w:w="912" w:type="dxa"/>
            <w:tcBorders>
              <w:top w:val="single" w:sz="4" w:space="0" w:color="auto"/>
              <w:left w:val="nil"/>
              <w:bottom w:val="single" w:sz="4" w:space="0" w:color="auto"/>
              <w:right w:val="single" w:sz="4" w:space="0" w:color="auto"/>
            </w:tcBorders>
            <w:shd w:val="clear" w:color="auto" w:fill="auto"/>
            <w:vAlign w:val="center"/>
          </w:tcPr>
          <w:p w14:paraId="52AED217"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5C8FB7FD"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9C898CB" w14:textId="43BD388D"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6</w:t>
            </w:r>
          </w:p>
        </w:tc>
        <w:tc>
          <w:tcPr>
            <w:tcW w:w="2067" w:type="dxa"/>
            <w:vMerge/>
            <w:tcBorders>
              <w:left w:val="nil"/>
              <w:right w:val="single" w:sz="4" w:space="0" w:color="auto"/>
            </w:tcBorders>
            <w:shd w:val="clear" w:color="000000" w:fill="FFFFFF"/>
            <w:vAlign w:val="center"/>
          </w:tcPr>
          <w:p w14:paraId="1F9AB004"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0C5F3E22" w14:textId="2B502AFD"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提供常规免疫组化和鉴别诊断类免疫组化自动关联“缓发报告原因”的差异化处理。</w:t>
            </w:r>
          </w:p>
        </w:tc>
        <w:tc>
          <w:tcPr>
            <w:tcW w:w="912" w:type="dxa"/>
            <w:tcBorders>
              <w:top w:val="single" w:sz="4" w:space="0" w:color="auto"/>
              <w:left w:val="nil"/>
              <w:bottom w:val="single" w:sz="4" w:space="0" w:color="auto"/>
              <w:right w:val="single" w:sz="4" w:space="0" w:color="auto"/>
            </w:tcBorders>
            <w:shd w:val="clear" w:color="auto" w:fill="auto"/>
            <w:vAlign w:val="center"/>
          </w:tcPr>
          <w:p w14:paraId="3CDF4610"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07886DB4"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0925F7F" w14:textId="7DE9A235"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7</w:t>
            </w:r>
          </w:p>
        </w:tc>
        <w:tc>
          <w:tcPr>
            <w:tcW w:w="2067" w:type="dxa"/>
            <w:vMerge/>
            <w:tcBorders>
              <w:left w:val="nil"/>
              <w:right w:val="single" w:sz="4" w:space="0" w:color="auto"/>
            </w:tcBorders>
            <w:shd w:val="clear" w:color="000000" w:fill="FFFFFF"/>
            <w:vAlign w:val="center"/>
          </w:tcPr>
          <w:p w14:paraId="5A6644E8"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206E53D9" w14:textId="3D8DE4A2"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提供病理报告审核后的“犹豫期”自定义设定，并可自定义设定临床查看审核后的病理报告的“缓冲期”。</w:t>
            </w:r>
          </w:p>
        </w:tc>
        <w:tc>
          <w:tcPr>
            <w:tcW w:w="912" w:type="dxa"/>
            <w:tcBorders>
              <w:top w:val="single" w:sz="4" w:space="0" w:color="auto"/>
              <w:left w:val="nil"/>
              <w:bottom w:val="single" w:sz="4" w:space="0" w:color="auto"/>
              <w:right w:val="single" w:sz="4" w:space="0" w:color="auto"/>
            </w:tcBorders>
            <w:shd w:val="clear" w:color="auto" w:fill="auto"/>
            <w:vAlign w:val="center"/>
          </w:tcPr>
          <w:p w14:paraId="43935DF6"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533D042E"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7E542DF" w14:textId="466D0386"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8</w:t>
            </w:r>
          </w:p>
        </w:tc>
        <w:tc>
          <w:tcPr>
            <w:tcW w:w="2067" w:type="dxa"/>
            <w:vMerge/>
            <w:tcBorders>
              <w:left w:val="nil"/>
              <w:right w:val="single" w:sz="4" w:space="0" w:color="auto"/>
            </w:tcBorders>
            <w:shd w:val="clear" w:color="000000" w:fill="FFFFFF"/>
            <w:vAlign w:val="center"/>
          </w:tcPr>
          <w:p w14:paraId="51432C7E"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190EC28E" w14:textId="76C4FBF8" w:rsidR="00C97993" w:rsidRPr="007238B1" w:rsidRDefault="00C97993" w:rsidP="00C97993">
            <w:pPr>
              <w:pStyle w:val="aa"/>
              <w:tabs>
                <w:tab w:val="left" w:pos="3300"/>
                <w:tab w:val="left" w:pos="3630"/>
              </w:tabs>
              <w:contextualSpacing/>
              <w:jc w:val="left"/>
              <w:rPr>
                <w:rFonts w:hAnsi="宋体"/>
                <w:spacing w:val="2"/>
                <w:sz w:val="28"/>
                <w:szCs w:val="28"/>
              </w:rPr>
            </w:pPr>
            <w:r w:rsidRPr="00D51329">
              <w:rPr>
                <w:rFonts w:hAnsi="宋体" w:hint="eastAsia"/>
                <w:bCs/>
              </w:rPr>
              <w:t>可发出科内会诊申请，系统会自动加入“科内会诊”列表并进行提示，其他医生登录系统后可以快速定位这些会诊病例，可增加、修改、删除自己的科内会诊意见。</w:t>
            </w:r>
          </w:p>
        </w:tc>
        <w:tc>
          <w:tcPr>
            <w:tcW w:w="912" w:type="dxa"/>
            <w:tcBorders>
              <w:top w:val="single" w:sz="4" w:space="0" w:color="auto"/>
              <w:left w:val="nil"/>
              <w:bottom w:val="single" w:sz="4" w:space="0" w:color="auto"/>
              <w:right w:val="single" w:sz="4" w:space="0" w:color="auto"/>
            </w:tcBorders>
            <w:shd w:val="clear" w:color="auto" w:fill="auto"/>
            <w:vAlign w:val="center"/>
          </w:tcPr>
          <w:p w14:paraId="664A80D3"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7A49145C"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53F4F0F" w14:textId="60A83463"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9</w:t>
            </w:r>
          </w:p>
        </w:tc>
        <w:tc>
          <w:tcPr>
            <w:tcW w:w="2067" w:type="dxa"/>
            <w:vMerge/>
            <w:tcBorders>
              <w:left w:val="nil"/>
              <w:right w:val="single" w:sz="4" w:space="0" w:color="auto"/>
            </w:tcBorders>
            <w:shd w:val="clear" w:color="000000" w:fill="FFFFFF"/>
            <w:vAlign w:val="center"/>
          </w:tcPr>
          <w:p w14:paraId="58C8C4A5"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292CD1BF" w14:textId="2942FCF4" w:rsidR="00C97993" w:rsidRPr="007238B1" w:rsidRDefault="00C97993" w:rsidP="00C97993">
            <w:pPr>
              <w:pStyle w:val="aa"/>
              <w:tabs>
                <w:tab w:val="left" w:pos="3300"/>
                <w:tab w:val="left" w:pos="3630"/>
              </w:tabs>
              <w:contextualSpacing/>
              <w:jc w:val="left"/>
              <w:rPr>
                <w:rFonts w:hAnsi="宋体"/>
                <w:spacing w:val="2"/>
                <w:sz w:val="28"/>
                <w:szCs w:val="28"/>
              </w:rPr>
            </w:pPr>
            <w:r w:rsidRPr="00D51329">
              <w:rPr>
                <w:rFonts w:hAnsi="宋体" w:hint="eastAsia"/>
                <w:bCs/>
              </w:rPr>
              <w:t>可对病例进行随访标记，系统会自动加入“需随访病例”列表并进行提示，可录入并保存随访结果，并可继续随访或结束随访。</w:t>
            </w:r>
          </w:p>
        </w:tc>
        <w:tc>
          <w:tcPr>
            <w:tcW w:w="912" w:type="dxa"/>
            <w:tcBorders>
              <w:top w:val="single" w:sz="4" w:space="0" w:color="auto"/>
              <w:left w:val="nil"/>
              <w:bottom w:val="single" w:sz="4" w:space="0" w:color="auto"/>
              <w:right w:val="single" w:sz="4" w:space="0" w:color="auto"/>
            </w:tcBorders>
            <w:shd w:val="clear" w:color="auto" w:fill="auto"/>
            <w:vAlign w:val="center"/>
          </w:tcPr>
          <w:p w14:paraId="37776421"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7AB46FC9"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09F0D79" w14:textId="7240EE1F"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0</w:t>
            </w:r>
          </w:p>
        </w:tc>
        <w:tc>
          <w:tcPr>
            <w:tcW w:w="2067" w:type="dxa"/>
            <w:vMerge/>
            <w:tcBorders>
              <w:left w:val="nil"/>
              <w:right w:val="single" w:sz="4" w:space="0" w:color="auto"/>
            </w:tcBorders>
            <w:shd w:val="clear" w:color="000000" w:fill="FFFFFF"/>
            <w:vAlign w:val="center"/>
          </w:tcPr>
          <w:p w14:paraId="50D4C521"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0D9B6B97" w14:textId="09EEDEBB" w:rsidR="00C97993" w:rsidRPr="007238B1" w:rsidRDefault="00C97993" w:rsidP="00C97993">
            <w:pPr>
              <w:pStyle w:val="aa"/>
              <w:tabs>
                <w:tab w:val="left" w:pos="3300"/>
                <w:tab w:val="left" w:pos="3630"/>
              </w:tabs>
              <w:contextualSpacing/>
              <w:jc w:val="left"/>
              <w:rPr>
                <w:rFonts w:hAnsi="宋体"/>
                <w:spacing w:val="2"/>
                <w:sz w:val="28"/>
                <w:szCs w:val="28"/>
              </w:rPr>
            </w:pPr>
            <w:r w:rsidRPr="00D51329">
              <w:rPr>
                <w:rFonts w:hAnsi="宋体" w:hint="eastAsia"/>
                <w:bCs/>
              </w:rPr>
              <w:t>可对感兴趣的病例进行</w:t>
            </w:r>
            <w:r>
              <w:rPr>
                <w:rFonts w:hAnsi="宋体" w:hint="eastAsia"/>
                <w:bCs/>
              </w:rPr>
              <w:t>自定义</w:t>
            </w:r>
            <w:r w:rsidRPr="00D51329">
              <w:rPr>
                <w:rFonts w:hAnsi="宋体" w:hint="eastAsia"/>
                <w:bCs/>
              </w:rPr>
              <w:t>收藏</w:t>
            </w:r>
            <w:r>
              <w:rPr>
                <w:rFonts w:hAnsi="宋体" w:hint="eastAsia"/>
                <w:bCs/>
              </w:rPr>
              <w:t>分类</w:t>
            </w:r>
            <w:r w:rsidRPr="00D51329">
              <w:rPr>
                <w:rFonts w:hAnsi="宋体" w:hint="eastAsia"/>
                <w:bCs/>
              </w:rPr>
              <w:t>管理，系统会自动加入到“我的收藏夹”列表并进行提示，医生可以导出自己的收藏夹病例列表。</w:t>
            </w:r>
          </w:p>
        </w:tc>
        <w:tc>
          <w:tcPr>
            <w:tcW w:w="912" w:type="dxa"/>
            <w:tcBorders>
              <w:top w:val="single" w:sz="4" w:space="0" w:color="auto"/>
              <w:left w:val="nil"/>
              <w:bottom w:val="single" w:sz="4" w:space="0" w:color="auto"/>
              <w:right w:val="single" w:sz="4" w:space="0" w:color="auto"/>
            </w:tcBorders>
            <w:shd w:val="clear" w:color="auto" w:fill="auto"/>
            <w:vAlign w:val="center"/>
          </w:tcPr>
          <w:p w14:paraId="1E7B4936"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7BF702BD"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73163AF" w14:textId="437D4F95"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1</w:t>
            </w:r>
          </w:p>
        </w:tc>
        <w:tc>
          <w:tcPr>
            <w:tcW w:w="2067" w:type="dxa"/>
            <w:vMerge/>
            <w:tcBorders>
              <w:left w:val="nil"/>
              <w:right w:val="single" w:sz="4" w:space="0" w:color="auto"/>
            </w:tcBorders>
            <w:shd w:val="clear" w:color="000000" w:fill="FFFFFF"/>
            <w:vAlign w:val="center"/>
          </w:tcPr>
          <w:p w14:paraId="3CCA1F8B"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3128F1C9" w14:textId="726C9F37"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可根据多个条件来组合查询或统计病例、可进行模糊查询或精确查询。可提供“拼音码”来查询姓名。查询或统计出的结果可以导出为EXCEL文件，用户可自定义导出项目字段。</w:t>
            </w:r>
          </w:p>
        </w:tc>
        <w:tc>
          <w:tcPr>
            <w:tcW w:w="912" w:type="dxa"/>
            <w:tcBorders>
              <w:top w:val="single" w:sz="4" w:space="0" w:color="auto"/>
              <w:left w:val="nil"/>
              <w:bottom w:val="single" w:sz="4" w:space="0" w:color="auto"/>
              <w:right w:val="single" w:sz="4" w:space="0" w:color="auto"/>
            </w:tcBorders>
            <w:shd w:val="clear" w:color="auto" w:fill="auto"/>
            <w:vAlign w:val="center"/>
          </w:tcPr>
          <w:p w14:paraId="0AD08124"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5EDAA6C7"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EBC3168" w14:textId="7DBE5D27"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sidR="00AA7DE3">
              <w:rPr>
                <w:rFonts w:hAnsi="宋体"/>
                <w:spacing w:val="2"/>
                <w:sz w:val="28"/>
                <w:szCs w:val="28"/>
              </w:rPr>
              <w:t>2</w:t>
            </w:r>
          </w:p>
        </w:tc>
        <w:tc>
          <w:tcPr>
            <w:tcW w:w="2067" w:type="dxa"/>
            <w:vMerge/>
            <w:tcBorders>
              <w:left w:val="nil"/>
              <w:right w:val="single" w:sz="4" w:space="0" w:color="auto"/>
            </w:tcBorders>
            <w:shd w:val="clear" w:color="000000" w:fill="FFFFFF"/>
            <w:vAlign w:val="center"/>
          </w:tcPr>
          <w:p w14:paraId="54C0440A"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6EFF04A1" w14:textId="4C24E5FC"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提供按照“部位”、“病名”关键词区分的疾病索引管理，并进行精确的疾病种类统计。</w:t>
            </w:r>
          </w:p>
        </w:tc>
        <w:tc>
          <w:tcPr>
            <w:tcW w:w="912" w:type="dxa"/>
            <w:tcBorders>
              <w:top w:val="single" w:sz="4" w:space="0" w:color="auto"/>
              <w:left w:val="nil"/>
              <w:bottom w:val="single" w:sz="4" w:space="0" w:color="auto"/>
              <w:right w:val="single" w:sz="4" w:space="0" w:color="auto"/>
            </w:tcBorders>
            <w:shd w:val="clear" w:color="auto" w:fill="auto"/>
            <w:vAlign w:val="center"/>
          </w:tcPr>
          <w:p w14:paraId="48617BE4"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2E4AEA7B"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53D0F0A" w14:textId="2757DE11" w:rsidR="00C97993" w:rsidRPr="007238B1" w:rsidRDefault="00C9799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3</w:t>
            </w:r>
          </w:p>
        </w:tc>
        <w:tc>
          <w:tcPr>
            <w:tcW w:w="2067" w:type="dxa"/>
            <w:vMerge/>
            <w:tcBorders>
              <w:left w:val="nil"/>
              <w:right w:val="single" w:sz="4" w:space="0" w:color="auto"/>
            </w:tcBorders>
            <w:shd w:val="clear" w:color="000000" w:fill="FFFFFF"/>
            <w:vAlign w:val="center"/>
          </w:tcPr>
          <w:p w14:paraId="1276B7F2"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6F7B7310" w14:textId="3E97C8B1"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提供多种病理科工作量统计报表，包括医生工作量、技师工作量、科室工作量、技术医嘱工作量、特检医嘱工作量、临床送检工作量、外院送检工作量等。</w:t>
            </w:r>
          </w:p>
        </w:tc>
        <w:tc>
          <w:tcPr>
            <w:tcW w:w="912" w:type="dxa"/>
            <w:tcBorders>
              <w:top w:val="single" w:sz="4" w:space="0" w:color="auto"/>
              <w:left w:val="nil"/>
              <w:bottom w:val="single" w:sz="4" w:space="0" w:color="auto"/>
              <w:right w:val="single" w:sz="4" w:space="0" w:color="auto"/>
            </w:tcBorders>
            <w:shd w:val="clear" w:color="auto" w:fill="auto"/>
            <w:vAlign w:val="center"/>
          </w:tcPr>
          <w:p w14:paraId="6DFA16D5"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3FF19A31"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B124954" w14:textId="632C81D0" w:rsidR="00C97993" w:rsidRPr="007238B1" w:rsidRDefault="00AA7DE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4</w:t>
            </w:r>
          </w:p>
        </w:tc>
        <w:tc>
          <w:tcPr>
            <w:tcW w:w="2067" w:type="dxa"/>
            <w:vMerge/>
            <w:tcBorders>
              <w:left w:val="nil"/>
              <w:right w:val="single" w:sz="4" w:space="0" w:color="auto"/>
            </w:tcBorders>
            <w:shd w:val="clear" w:color="000000" w:fill="FFFFFF"/>
            <w:vAlign w:val="center"/>
          </w:tcPr>
          <w:p w14:paraId="5793CA6B"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5BC95FD5" w14:textId="0F1F3B7B"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提供多种符合率统计报表，包括冰冻诊断符合率、临床诊断符合率、会诊符合率等。</w:t>
            </w:r>
          </w:p>
        </w:tc>
        <w:tc>
          <w:tcPr>
            <w:tcW w:w="912" w:type="dxa"/>
            <w:tcBorders>
              <w:top w:val="single" w:sz="4" w:space="0" w:color="auto"/>
              <w:left w:val="nil"/>
              <w:bottom w:val="single" w:sz="4" w:space="0" w:color="auto"/>
              <w:right w:val="single" w:sz="4" w:space="0" w:color="auto"/>
            </w:tcBorders>
            <w:shd w:val="clear" w:color="auto" w:fill="auto"/>
            <w:vAlign w:val="center"/>
          </w:tcPr>
          <w:p w14:paraId="576E5CF9"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75AA0640"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764DDD8" w14:textId="7F8CC6F8" w:rsidR="00C97993" w:rsidRPr="007238B1" w:rsidRDefault="00AA7DE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5</w:t>
            </w:r>
          </w:p>
        </w:tc>
        <w:tc>
          <w:tcPr>
            <w:tcW w:w="2067" w:type="dxa"/>
            <w:vMerge/>
            <w:tcBorders>
              <w:left w:val="nil"/>
              <w:right w:val="single" w:sz="4" w:space="0" w:color="auto"/>
            </w:tcBorders>
            <w:shd w:val="clear" w:color="000000" w:fill="FFFFFF"/>
            <w:vAlign w:val="center"/>
          </w:tcPr>
          <w:p w14:paraId="339F740C"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0733BC44" w14:textId="3C399774"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提供多种报告时间统计报表，包括冰冻报告发放时间统计、未发报告统计、超期报告统计、报告实际发放天数统计、报告实际发放天数汇总。</w:t>
            </w:r>
          </w:p>
        </w:tc>
        <w:tc>
          <w:tcPr>
            <w:tcW w:w="912" w:type="dxa"/>
            <w:tcBorders>
              <w:top w:val="single" w:sz="4" w:space="0" w:color="auto"/>
              <w:left w:val="nil"/>
              <w:bottom w:val="single" w:sz="4" w:space="0" w:color="auto"/>
              <w:right w:val="single" w:sz="4" w:space="0" w:color="auto"/>
            </w:tcBorders>
            <w:shd w:val="clear" w:color="auto" w:fill="auto"/>
            <w:vAlign w:val="center"/>
          </w:tcPr>
          <w:p w14:paraId="66CA3040"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2BF52A4D"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E4A7D4D" w14:textId="3A856154" w:rsidR="00C97993" w:rsidRPr="007238B1" w:rsidRDefault="00AA7DE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3</w:t>
            </w:r>
            <w:r>
              <w:rPr>
                <w:rFonts w:hAnsi="宋体"/>
                <w:spacing w:val="2"/>
                <w:sz w:val="28"/>
                <w:szCs w:val="28"/>
              </w:rPr>
              <w:t>6</w:t>
            </w:r>
          </w:p>
        </w:tc>
        <w:tc>
          <w:tcPr>
            <w:tcW w:w="2067" w:type="dxa"/>
            <w:vMerge/>
            <w:tcBorders>
              <w:left w:val="nil"/>
              <w:right w:val="single" w:sz="4" w:space="0" w:color="auto"/>
            </w:tcBorders>
            <w:shd w:val="clear" w:color="000000" w:fill="FFFFFF"/>
            <w:vAlign w:val="center"/>
          </w:tcPr>
          <w:p w14:paraId="7AB5AED6"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27014CF7" w14:textId="087418B5"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提供同一病人的“小标本—大</w:t>
            </w:r>
            <w:r w:rsidRPr="00D51329">
              <w:rPr>
                <w:rFonts w:hint="eastAsia"/>
              </w:rPr>
              <w:t>标本</w:t>
            </w:r>
            <w:r>
              <w:rPr>
                <w:rFonts w:hint="eastAsia"/>
              </w:rPr>
              <w:t>”或“细胞学—常规”诊断对照功能，并能导出为EXCEL文件</w:t>
            </w:r>
            <w:r w:rsidRPr="00D51329">
              <w:rPr>
                <w:rFonts w:hint="eastAsia"/>
              </w:rPr>
              <w:t>。</w:t>
            </w:r>
          </w:p>
        </w:tc>
        <w:tc>
          <w:tcPr>
            <w:tcW w:w="912" w:type="dxa"/>
            <w:tcBorders>
              <w:top w:val="single" w:sz="4" w:space="0" w:color="auto"/>
              <w:left w:val="nil"/>
              <w:bottom w:val="single" w:sz="4" w:space="0" w:color="auto"/>
              <w:right w:val="single" w:sz="4" w:space="0" w:color="auto"/>
            </w:tcBorders>
            <w:shd w:val="clear" w:color="auto" w:fill="auto"/>
            <w:vAlign w:val="center"/>
          </w:tcPr>
          <w:p w14:paraId="77F27811"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5C0D1581"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25106EF" w14:textId="023A85A9" w:rsidR="00C97993" w:rsidRPr="007238B1" w:rsidRDefault="00AA7DE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7</w:t>
            </w:r>
          </w:p>
        </w:tc>
        <w:tc>
          <w:tcPr>
            <w:tcW w:w="2067" w:type="dxa"/>
            <w:vMerge/>
            <w:tcBorders>
              <w:left w:val="nil"/>
              <w:right w:val="single" w:sz="4" w:space="0" w:color="auto"/>
            </w:tcBorders>
            <w:shd w:val="clear" w:color="000000" w:fill="FFFFFF"/>
            <w:vAlign w:val="center"/>
          </w:tcPr>
          <w:p w14:paraId="6983D823"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0207A457" w14:textId="68E489E1" w:rsidR="00C97993" w:rsidRPr="007238B1" w:rsidRDefault="00C97993" w:rsidP="00C97993">
            <w:pPr>
              <w:pStyle w:val="aa"/>
              <w:tabs>
                <w:tab w:val="left" w:pos="3300"/>
                <w:tab w:val="left" w:pos="3630"/>
              </w:tabs>
              <w:contextualSpacing/>
              <w:jc w:val="left"/>
              <w:rPr>
                <w:rFonts w:hAnsi="宋体"/>
                <w:spacing w:val="2"/>
                <w:sz w:val="28"/>
                <w:szCs w:val="28"/>
              </w:rPr>
            </w:pPr>
            <w:r>
              <w:rPr>
                <w:rFonts w:hint="eastAsia"/>
              </w:rPr>
              <w:t>提供报告格式自动扩页功能，以适应内容较多的病理报告或尸检病理报告。</w:t>
            </w:r>
          </w:p>
        </w:tc>
        <w:tc>
          <w:tcPr>
            <w:tcW w:w="912" w:type="dxa"/>
            <w:tcBorders>
              <w:top w:val="single" w:sz="4" w:space="0" w:color="auto"/>
              <w:left w:val="nil"/>
              <w:bottom w:val="single" w:sz="4" w:space="0" w:color="auto"/>
              <w:right w:val="single" w:sz="4" w:space="0" w:color="auto"/>
            </w:tcBorders>
            <w:shd w:val="clear" w:color="auto" w:fill="auto"/>
            <w:vAlign w:val="center"/>
          </w:tcPr>
          <w:p w14:paraId="7A38471D"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5E939720"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6C448D2" w14:textId="4B39C0DE" w:rsidR="00C97993" w:rsidRPr="007238B1" w:rsidRDefault="00AA7DE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8</w:t>
            </w:r>
          </w:p>
        </w:tc>
        <w:tc>
          <w:tcPr>
            <w:tcW w:w="2067" w:type="dxa"/>
            <w:vMerge/>
            <w:tcBorders>
              <w:left w:val="nil"/>
              <w:right w:val="single" w:sz="4" w:space="0" w:color="auto"/>
            </w:tcBorders>
            <w:shd w:val="clear" w:color="000000" w:fill="FFFFFF"/>
            <w:vAlign w:val="center"/>
          </w:tcPr>
          <w:p w14:paraId="032A6C0C"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0D7FADFA" w14:textId="228A6A6F"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提供用户分级权限体系，适应病理科不同级别的医生相互之间的报告修改、审核的权限嵌套关系。</w:t>
            </w:r>
          </w:p>
        </w:tc>
        <w:tc>
          <w:tcPr>
            <w:tcW w:w="912" w:type="dxa"/>
            <w:tcBorders>
              <w:top w:val="single" w:sz="4" w:space="0" w:color="auto"/>
              <w:left w:val="nil"/>
              <w:bottom w:val="single" w:sz="4" w:space="0" w:color="auto"/>
              <w:right w:val="single" w:sz="4" w:space="0" w:color="auto"/>
            </w:tcBorders>
            <w:shd w:val="clear" w:color="auto" w:fill="auto"/>
            <w:vAlign w:val="center"/>
          </w:tcPr>
          <w:p w14:paraId="76420A57"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162BD63E"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C539CB4" w14:textId="47A864DB" w:rsidR="00C97993" w:rsidRPr="007238B1" w:rsidRDefault="00AA7DE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9</w:t>
            </w:r>
          </w:p>
        </w:tc>
        <w:tc>
          <w:tcPr>
            <w:tcW w:w="2067" w:type="dxa"/>
            <w:vMerge/>
            <w:tcBorders>
              <w:left w:val="nil"/>
              <w:right w:val="single" w:sz="4" w:space="0" w:color="auto"/>
            </w:tcBorders>
            <w:shd w:val="clear" w:color="000000" w:fill="FFFFFF"/>
            <w:vAlign w:val="center"/>
          </w:tcPr>
          <w:p w14:paraId="1EAF81A1"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4E0CC7F7" w14:textId="3321FB2B" w:rsidR="00C97993" w:rsidRPr="007238B1" w:rsidRDefault="00C97993" w:rsidP="00C97993">
            <w:pPr>
              <w:pStyle w:val="aa"/>
              <w:tabs>
                <w:tab w:val="left" w:pos="3300"/>
                <w:tab w:val="left" w:pos="3630"/>
              </w:tabs>
              <w:contextualSpacing/>
              <w:jc w:val="left"/>
              <w:rPr>
                <w:rFonts w:hAnsi="宋体"/>
                <w:spacing w:val="2"/>
                <w:sz w:val="28"/>
                <w:szCs w:val="28"/>
              </w:rPr>
            </w:pPr>
            <w:r>
              <w:rPr>
                <w:rFonts w:hAnsi="宋体" w:hint="eastAsia"/>
                <w:bCs/>
              </w:rPr>
              <w:t>提供每日病理报告签收单管理，通过扫描病理报告单上的条码，自动按照“病区”或“送检科室”排序整理报告签收单进行打印，用于临床接收病理报告后签字返回病理科进行存档。</w:t>
            </w:r>
          </w:p>
        </w:tc>
        <w:tc>
          <w:tcPr>
            <w:tcW w:w="912" w:type="dxa"/>
            <w:tcBorders>
              <w:top w:val="single" w:sz="4" w:space="0" w:color="auto"/>
              <w:left w:val="nil"/>
              <w:bottom w:val="single" w:sz="4" w:space="0" w:color="auto"/>
              <w:right w:val="single" w:sz="4" w:space="0" w:color="auto"/>
            </w:tcBorders>
            <w:shd w:val="clear" w:color="auto" w:fill="auto"/>
            <w:vAlign w:val="center"/>
          </w:tcPr>
          <w:p w14:paraId="5B603DB3"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r w:rsidR="00C97993" w:rsidRPr="007238B1" w14:paraId="39E34A10" w14:textId="77777777" w:rsidTr="00AA7DE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AC6D6AD" w14:textId="741CBDCF" w:rsidR="00C97993" w:rsidRPr="007238B1" w:rsidRDefault="00AA7DE3" w:rsidP="00C97993">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Pr>
                <w:rFonts w:hAnsi="宋体"/>
                <w:spacing w:val="2"/>
                <w:sz w:val="28"/>
                <w:szCs w:val="28"/>
              </w:rPr>
              <w:t>0</w:t>
            </w:r>
          </w:p>
        </w:tc>
        <w:tc>
          <w:tcPr>
            <w:tcW w:w="2067" w:type="dxa"/>
            <w:vMerge/>
            <w:tcBorders>
              <w:left w:val="nil"/>
              <w:bottom w:val="single" w:sz="4" w:space="0" w:color="auto"/>
              <w:right w:val="single" w:sz="4" w:space="0" w:color="auto"/>
            </w:tcBorders>
            <w:shd w:val="clear" w:color="000000" w:fill="FFFFFF"/>
            <w:vAlign w:val="center"/>
          </w:tcPr>
          <w:p w14:paraId="29266FA2"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c>
          <w:tcPr>
            <w:tcW w:w="4961" w:type="dxa"/>
            <w:tcBorders>
              <w:top w:val="single" w:sz="4" w:space="0" w:color="auto"/>
              <w:left w:val="nil"/>
              <w:bottom w:val="single" w:sz="4" w:space="0" w:color="auto"/>
              <w:right w:val="single" w:sz="4" w:space="0" w:color="auto"/>
            </w:tcBorders>
            <w:shd w:val="clear" w:color="000000" w:fill="FFFFFF"/>
            <w:vAlign w:val="center"/>
          </w:tcPr>
          <w:p w14:paraId="429569F3" w14:textId="39AD681A" w:rsidR="00C97993" w:rsidRPr="007238B1" w:rsidRDefault="00C97993" w:rsidP="00C97993">
            <w:pPr>
              <w:pStyle w:val="aa"/>
              <w:tabs>
                <w:tab w:val="left" w:pos="3300"/>
                <w:tab w:val="left" w:pos="3630"/>
              </w:tabs>
              <w:contextualSpacing/>
              <w:jc w:val="left"/>
              <w:rPr>
                <w:rFonts w:hAnsi="宋体"/>
                <w:spacing w:val="2"/>
                <w:sz w:val="28"/>
                <w:szCs w:val="28"/>
              </w:rPr>
            </w:pPr>
            <w:r w:rsidRPr="00D51329">
              <w:rPr>
                <w:rFonts w:hAnsi="宋体" w:hint="eastAsia"/>
                <w:bCs/>
              </w:rPr>
              <w:t>重要报告痕迹后台记录和溯源查询功能。</w:t>
            </w:r>
          </w:p>
        </w:tc>
        <w:tc>
          <w:tcPr>
            <w:tcW w:w="912" w:type="dxa"/>
            <w:tcBorders>
              <w:top w:val="single" w:sz="4" w:space="0" w:color="auto"/>
              <w:left w:val="nil"/>
              <w:bottom w:val="single" w:sz="4" w:space="0" w:color="auto"/>
              <w:right w:val="single" w:sz="4" w:space="0" w:color="auto"/>
            </w:tcBorders>
            <w:shd w:val="clear" w:color="auto" w:fill="auto"/>
            <w:vAlign w:val="center"/>
          </w:tcPr>
          <w:p w14:paraId="790E6FC8" w14:textId="77777777" w:rsidR="00C97993" w:rsidRPr="007238B1" w:rsidRDefault="00C97993" w:rsidP="00C97993">
            <w:pPr>
              <w:pStyle w:val="aa"/>
              <w:tabs>
                <w:tab w:val="left" w:pos="3300"/>
                <w:tab w:val="left" w:pos="3630"/>
              </w:tabs>
              <w:contextualSpacing/>
              <w:jc w:val="center"/>
              <w:rPr>
                <w:rFonts w:hAnsi="宋体"/>
                <w:spacing w:val="2"/>
                <w:sz w:val="28"/>
                <w:szCs w:val="28"/>
              </w:rPr>
            </w:pPr>
          </w:p>
        </w:tc>
      </w:tr>
    </w:tbl>
    <w:p w14:paraId="7B127CD2"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498C270" w14:textId="77777777" w:rsidR="00E0606A" w:rsidRDefault="00026332" w:rsidP="00E0606A">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14:paraId="53118817" w14:textId="77777777" w:rsidR="00E0606A" w:rsidRDefault="00E0606A" w:rsidP="00E0606A">
      <w:pPr>
        <w:ind w:firstLineChars="200" w:firstLine="560"/>
        <w:jc w:val="left"/>
        <w:rPr>
          <w:rFonts w:ascii="宋体" w:hAnsi="宋体" w:cs="宋体"/>
          <w:kern w:val="0"/>
          <w:sz w:val="28"/>
          <w:szCs w:val="24"/>
        </w:rPr>
      </w:pPr>
      <w:r>
        <w:rPr>
          <w:rFonts w:ascii="宋体" w:hAnsi="宋体" w:cs="宋体"/>
          <w:kern w:val="0"/>
          <w:sz w:val="28"/>
          <w:szCs w:val="24"/>
        </w:rPr>
        <w:t>2</w:t>
      </w:r>
      <w:r>
        <w:rPr>
          <w:rFonts w:ascii="宋体" w:hAnsi="宋体" w:cs="宋体" w:hint="eastAsia"/>
          <w:kern w:val="0"/>
          <w:sz w:val="28"/>
          <w:szCs w:val="24"/>
        </w:rPr>
        <w:t>、</w:t>
      </w:r>
      <w:r w:rsidRPr="00E0606A">
        <w:rPr>
          <w:rFonts w:ascii="宋体" w:hAnsi="宋体" w:cs="宋体" w:hint="eastAsia"/>
          <w:kern w:val="0"/>
          <w:sz w:val="28"/>
          <w:szCs w:val="24"/>
        </w:rPr>
        <w:t>质保期：验收合格后提供12个月的质保期。</w:t>
      </w:r>
    </w:p>
    <w:p w14:paraId="43B43126" w14:textId="77777777" w:rsidR="00E0606A" w:rsidRDefault="00E0606A" w:rsidP="00E0606A">
      <w:pPr>
        <w:ind w:firstLineChars="200" w:firstLine="560"/>
        <w:jc w:val="left"/>
        <w:rPr>
          <w:rFonts w:ascii="宋体" w:hAnsi="宋体" w:cs="宋体"/>
          <w:kern w:val="0"/>
          <w:sz w:val="28"/>
          <w:szCs w:val="24"/>
        </w:rPr>
      </w:pPr>
      <w:r>
        <w:rPr>
          <w:rFonts w:ascii="宋体" w:hAnsi="宋体" w:cs="宋体" w:hint="eastAsia"/>
          <w:kern w:val="0"/>
          <w:sz w:val="28"/>
          <w:szCs w:val="24"/>
        </w:rPr>
        <w:t>3、</w:t>
      </w:r>
      <w:r w:rsidRPr="00E0606A">
        <w:rPr>
          <w:rFonts w:ascii="宋体" w:hAnsi="宋体" w:cs="宋体" w:hint="eastAsia"/>
          <w:kern w:val="0"/>
          <w:sz w:val="28"/>
          <w:szCs w:val="24"/>
        </w:rPr>
        <w:t>服务地点：宜昌市内采购人指定地点。</w:t>
      </w:r>
    </w:p>
    <w:p w14:paraId="6BA13A7D" w14:textId="77777777" w:rsidR="00E0606A" w:rsidRDefault="00E0606A" w:rsidP="00E0606A">
      <w:pPr>
        <w:ind w:firstLineChars="200" w:firstLine="560"/>
        <w:jc w:val="left"/>
        <w:rPr>
          <w:rFonts w:ascii="宋体" w:hAnsi="宋体" w:cs="宋体"/>
          <w:kern w:val="0"/>
          <w:sz w:val="28"/>
          <w:szCs w:val="24"/>
        </w:rPr>
      </w:pPr>
      <w:r>
        <w:rPr>
          <w:rFonts w:ascii="宋体" w:hAnsi="宋体" w:cs="宋体"/>
          <w:kern w:val="0"/>
          <w:sz w:val="28"/>
          <w:szCs w:val="24"/>
        </w:rPr>
        <w:t>4</w:t>
      </w:r>
      <w:r>
        <w:rPr>
          <w:rFonts w:ascii="宋体" w:hAnsi="宋体" w:cs="宋体" w:hint="eastAsia"/>
          <w:kern w:val="0"/>
          <w:sz w:val="28"/>
          <w:szCs w:val="24"/>
        </w:rPr>
        <w:t>、</w:t>
      </w:r>
      <w:r w:rsidRPr="00E0606A">
        <w:rPr>
          <w:rFonts w:ascii="宋体" w:hAnsi="宋体" w:cs="宋体" w:hint="eastAsia"/>
          <w:kern w:val="0"/>
          <w:sz w:val="28"/>
          <w:szCs w:val="24"/>
        </w:rPr>
        <w:t>项目验收：供应商在完成相关工作后，向采购人提出项目验收评审申请，采购人根据具体情况组织相关项目组成员、业务专家、业务使用人员等对项目进行验收评审，评审结果为验收通过或验收不通过，若结果为验收不通过，则责令供应商进行针对性整改，直至通过。</w:t>
      </w:r>
    </w:p>
    <w:p w14:paraId="21A9D10F" w14:textId="39BBD293" w:rsidR="00E0606A" w:rsidRPr="00E0606A" w:rsidRDefault="00E0606A" w:rsidP="00C55266">
      <w:pPr>
        <w:ind w:firstLineChars="200" w:firstLine="560"/>
        <w:jc w:val="left"/>
        <w:rPr>
          <w:rFonts w:ascii="宋体" w:hAnsi="宋体" w:cs="宋体"/>
          <w:kern w:val="0"/>
          <w:sz w:val="28"/>
          <w:szCs w:val="24"/>
        </w:rPr>
      </w:pPr>
      <w:r>
        <w:rPr>
          <w:rFonts w:ascii="宋体" w:hAnsi="宋体" w:cs="宋体" w:hint="eastAsia"/>
          <w:kern w:val="0"/>
          <w:sz w:val="28"/>
          <w:szCs w:val="24"/>
        </w:rPr>
        <w:t>5、</w:t>
      </w:r>
      <w:r w:rsidR="009255E9">
        <w:rPr>
          <w:rFonts w:ascii="宋体" w:hAnsi="宋体" w:cs="宋体" w:hint="eastAsia"/>
          <w:kern w:val="0"/>
          <w:sz w:val="28"/>
          <w:szCs w:val="24"/>
        </w:rPr>
        <w:t xml:space="preserve"> </w:t>
      </w:r>
      <w:r w:rsidRPr="00E0606A">
        <w:rPr>
          <w:rFonts w:ascii="宋体" w:hAnsi="宋体" w:cs="宋体" w:hint="eastAsia"/>
          <w:kern w:val="0"/>
          <w:sz w:val="28"/>
          <w:szCs w:val="24"/>
        </w:rPr>
        <w:t>付款方式：项目验收</w:t>
      </w:r>
      <w:r w:rsidR="00C55266">
        <w:rPr>
          <w:rFonts w:ascii="宋体" w:hAnsi="宋体" w:cs="宋体" w:hint="eastAsia"/>
          <w:kern w:val="0"/>
          <w:sz w:val="28"/>
          <w:szCs w:val="24"/>
        </w:rPr>
        <w:t>完成</w:t>
      </w:r>
      <w:r w:rsidRPr="00E0606A">
        <w:rPr>
          <w:rFonts w:ascii="宋体" w:hAnsi="宋体" w:cs="宋体" w:hint="eastAsia"/>
          <w:kern w:val="0"/>
          <w:sz w:val="28"/>
          <w:szCs w:val="24"/>
        </w:rPr>
        <w:t>后，30个工作日内支付合同金额总额的</w:t>
      </w:r>
      <w:r w:rsidR="00C55266">
        <w:rPr>
          <w:rFonts w:ascii="宋体" w:hAnsi="宋体" w:cs="宋体"/>
          <w:kern w:val="0"/>
          <w:sz w:val="28"/>
          <w:szCs w:val="24"/>
        </w:rPr>
        <w:t>9</w:t>
      </w:r>
      <w:r w:rsidRPr="00E0606A">
        <w:rPr>
          <w:rFonts w:ascii="宋体" w:hAnsi="宋体" w:cs="宋体" w:hint="eastAsia"/>
          <w:kern w:val="0"/>
          <w:sz w:val="28"/>
          <w:szCs w:val="24"/>
        </w:rPr>
        <w:t>0%。验收完成一年后30个工作日内支付合同总额10%.</w:t>
      </w:r>
    </w:p>
    <w:p w14:paraId="121D5216"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09E2E173" w14:textId="33A8C265" w:rsidR="004E3D98" w:rsidRPr="00ED19AE" w:rsidRDefault="004E3D98" w:rsidP="00132524">
      <w:pPr>
        <w:ind w:firstLineChars="200" w:firstLine="560"/>
        <w:jc w:val="left"/>
        <w:rPr>
          <w:rFonts w:ascii="宋体" w:hAnsi="宋体" w:cs="宋体"/>
          <w:kern w:val="0"/>
          <w:sz w:val="28"/>
          <w:szCs w:val="28"/>
        </w:rPr>
      </w:pPr>
      <w:r w:rsidRPr="00ED19AE">
        <w:rPr>
          <w:rFonts w:ascii="宋体" w:hAnsi="宋体" w:cs="宋体" w:hint="eastAsia"/>
          <w:kern w:val="0"/>
          <w:sz w:val="28"/>
          <w:szCs w:val="28"/>
        </w:rPr>
        <w:t>联系人</w:t>
      </w:r>
      <w:r w:rsidRPr="00ED19AE">
        <w:rPr>
          <w:rFonts w:ascii="宋体" w:hAnsi="宋体" w:cs="宋体"/>
          <w:kern w:val="0"/>
          <w:sz w:val="28"/>
          <w:szCs w:val="28"/>
        </w:rPr>
        <w:t>：</w:t>
      </w:r>
      <w:r w:rsidR="009255E9" w:rsidRPr="00ED19AE">
        <w:rPr>
          <w:rFonts w:ascii="宋体" w:hAnsi="宋体" w:cs="宋体" w:hint="eastAsia"/>
          <w:kern w:val="0"/>
          <w:sz w:val="28"/>
          <w:szCs w:val="28"/>
        </w:rPr>
        <w:t>师老师</w:t>
      </w:r>
    </w:p>
    <w:p w14:paraId="5FEFA8E1" w14:textId="0CD5577C" w:rsidR="004E3D98" w:rsidRPr="00ED19AE" w:rsidRDefault="004E3D98" w:rsidP="00132524">
      <w:pPr>
        <w:ind w:firstLineChars="200" w:firstLine="560"/>
        <w:jc w:val="left"/>
        <w:rPr>
          <w:rFonts w:ascii="宋体" w:hAnsi="宋体" w:cs="宋体"/>
          <w:kern w:val="0"/>
          <w:sz w:val="28"/>
          <w:szCs w:val="28"/>
        </w:rPr>
      </w:pPr>
      <w:r w:rsidRPr="00ED19AE">
        <w:rPr>
          <w:rFonts w:ascii="宋体" w:hAnsi="宋体" w:cs="宋体" w:hint="eastAsia"/>
          <w:kern w:val="0"/>
          <w:sz w:val="28"/>
          <w:szCs w:val="28"/>
        </w:rPr>
        <w:t>联系电话</w:t>
      </w:r>
      <w:r w:rsidRPr="00ED19AE">
        <w:rPr>
          <w:rFonts w:ascii="宋体" w:hAnsi="宋体" w:cs="宋体"/>
          <w:kern w:val="0"/>
          <w:sz w:val="28"/>
          <w:szCs w:val="28"/>
        </w:rPr>
        <w:t>：0717-648</w:t>
      </w:r>
      <w:r w:rsidR="00F7606A" w:rsidRPr="00ED19AE">
        <w:rPr>
          <w:rFonts w:ascii="宋体" w:hAnsi="宋体" w:cs="宋体"/>
          <w:kern w:val="0"/>
          <w:sz w:val="28"/>
          <w:szCs w:val="28"/>
        </w:rPr>
        <w:t>3506 15</w:t>
      </w:r>
      <w:r w:rsidR="009255E9" w:rsidRPr="00ED19AE">
        <w:rPr>
          <w:rFonts w:ascii="宋体" w:hAnsi="宋体" w:cs="宋体"/>
          <w:kern w:val="0"/>
          <w:sz w:val="28"/>
          <w:szCs w:val="28"/>
        </w:rPr>
        <w:t>571717182</w:t>
      </w:r>
    </w:p>
    <w:p w14:paraId="082EB11C"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lastRenderedPageBreak/>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77A83B29" w14:textId="77777777" w:rsidTr="00AE1231">
        <w:tc>
          <w:tcPr>
            <w:tcW w:w="3936" w:type="dxa"/>
            <w:gridSpan w:val="2"/>
            <w:tcBorders>
              <w:top w:val="single" w:sz="4" w:space="0" w:color="auto"/>
              <w:left w:val="single" w:sz="4" w:space="0" w:color="auto"/>
              <w:right w:val="single" w:sz="4" w:space="0" w:color="auto"/>
            </w:tcBorders>
            <w:vAlign w:val="center"/>
          </w:tcPr>
          <w:p w14:paraId="024D2BD5"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659747BE"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6AE5BACC" w14:textId="77777777" w:rsidTr="00AE1231">
        <w:tc>
          <w:tcPr>
            <w:tcW w:w="534" w:type="dxa"/>
            <w:vMerge w:val="restart"/>
            <w:tcBorders>
              <w:left w:val="single" w:sz="4" w:space="0" w:color="auto"/>
              <w:right w:val="single" w:sz="4" w:space="0" w:color="auto"/>
            </w:tcBorders>
            <w:vAlign w:val="center"/>
          </w:tcPr>
          <w:p w14:paraId="0BF27D66"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0C15BF0"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44F0F4A2"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504AE146" w14:textId="77777777" w:rsidTr="00AE1231">
        <w:tc>
          <w:tcPr>
            <w:tcW w:w="534" w:type="dxa"/>
            <w:vMerge/>
            <w:tcBorders>
              <w:left w:val="single" w:sz="4" w:space="0" w:color="auto"/>
              <w:right w:val="single" w:sz="4" w:space="0" w:color="auto"/>
            </w:tcBorders>
            <w:vAlign w:val="center"/>
          </w:tcPr>
          <w:p w14:paraId="0A3C1D0C"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F330F6E"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24E3C009"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6CABA526" w14:textId="77777777" w:rsidTr="00AE1231">
        <w:tc>
          <w:tcPr>
            <w:tcW w:w="534" w:type="dxa"/>
            <w:vMerge/>
            <w:tcBorders>
              <w:left w:val="single" w:sz="4" w:space="0" w:color="auto"/>
              <w:bottom w:val="single" w:sz="4" w:space="0" w:color="auto"/>
              <w:right w:val="single" w:sz="4" w:space="0" w:color="auto"/>
            </w:tcBorders>
            <w:vAlign w:val="center"/>
          </w:tcPr>
          <w:p w14:paraId="473D623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8ECE139"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5288FF01"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73F457BE" w14:textId="77777777" w:rsidTr="00AE1231">
        <w:tc>
          <w:tcPr>
            <w:tcW w:w="534" w:type="dxa"/>
            <w:vMerge w:val="restart"/>
            <w:tcBorders>
              <w:left w:val="single" w:sz="4" w:space="0" w:color="auto"/>
              <w:right w:val="single" w:sz="4" w:space="0" w:color="auto"/>
            </w:tcBorders>
            <w:vAlign w:val="center"/>
          </w:tcPr>
          <w:p w14:paraId="0FEB9034"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B07D5D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6A430E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1A367ED2" w14:textId="77777777" w:rsidTr="00AE1231">
        <w:tc>
          <w:tcPr>
            <w:tcW w:w="534" w:type="dxa"/>
            <w:vMerge/>
            <w:tcBorders>
              <w:left w:val="single" w:sz="4" w:space="0" w:color="auto"/>
              <w:right w:val="single" w:sz="4" w:space="0" w:color="auto"/>
            </w:tcBorders>
            <w:vAlign w:val="center"/>
          </w:tcPr>
          <w:p w14:paraId="7FD707B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74FBC56"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48F92CBF"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74A00847" w14:textId="77777777" w:rsidTr="00AE1231">
        <w:tc>
          <w:tcPr>
            <w:tcW w:w="534" w:type="dxa"/>
            <w:vMerge/>
            <w:tcBorders>
              <w:left w:val="single" w:sz="4" w:space="0" w:color="auto"/>
              <w:right w:val="single" w:sz="4" w:space="0" w:color="auto"/>
            </w:tcBorders>
            <w:vAlign w:val="center"/>
          </w:tcPr>
          <w:p w14:paraId="37ABF330"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A9D5B6B"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1C8EFAF"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2F5D27CE" w14:textId="77777777" w:rsidTr="00AE1231">
        <w:tc>
          <w:tcPr>
            <w:tcW w:w="534" w:type="dxa"/>
            <w:vMerge/>
            <w:tcBorders>
              <w:left w:val="single" w:sz="4" w:space="0" w:color="auto"/>
              <w:right w:val="single" w:sz="4" w:space="0" w:color="auto"/>
            </w:tcBorders>
            <w:vAlign w:val="center"/>
          </w:tcPr>
          <w:p w14:paraId="3A6A87B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E5AED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3D70E710" w14:textId="77777777"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14:paraId="1C0D5A05" w14:textId="77777777" w:rsidTr="00AE1231">
        <w:tc>
          <w:tcPr>
            <w:tcW w:w="534" w:type="dxa"/>
            <w:vMerge/>
            <w:tcBorders>
              <w:left w:val="single" w:sz="4" w:space="0" w:color="auto"/>
              <w:right w:val="single" w:sz="4" w:space="0" w:color="auto"/>
            </w:tcBorders>
            <w:vAlign w:val="center"/>
          </w:tcPr>
          <w:p w14:paraId="23CCDF4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59D9D27"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AA2A129"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42E46349" w14:textId="77777777" w:rsidTr="00AE1231">
        <w:tc>
          <w:tcPr>
            <w:tcW w:w="534" w:type="dxa"/>
            <w:vMerge/>
            <w:tcBorders>
              <w:left w:val="single" w:sz="4" w:space="0" w:color="auto"/>
              <w:bottom w:val="single" w:sz="4" w:space="0" w:color="auto"/>
              <w:right w:val="single" w:sz="4" w:space="0" w:color="auto"/>
            </w:tcBorders>
            <w:vAlign w:val="center"/>
          </w:tcPr>
          <w:p w14:paraId="4743272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425CAF"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6AEA8B06"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EC1B5F8"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86ECBC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4D8B6ABA"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788A43A6"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6B522E97"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4AD2374A"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bookmarkStart w:id="2" w:name="_GoBack"/>
      <w:bookmarkEnd w:id="2"/>
    </w:p>
    <w:p w14:paraId="7D9FE307"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9D578E1"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0D8B3AF7"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3161C683" w14:textId="77777777" w:rsidR="00132524" w:rsidRPr="00A71A57" w:rsidRDefault="00132524" w:rsidP="00132524">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0"/>
      <w:r>
        <w:rPr>
          <w:rFonts w:hint="eastAsia"/>
        </w:rPr>
        <w:lastRenderedPageBreak/>
        <w:t>投标</w:t>
      </w:r>
      <w:r w:rsidRPr="00A71A57">
        <w:rPr>
          <w:rFonts w:hint="eastAsia"/>
        </w:rPr>
        <w:t>文件</w:t>
      </w:r>
      <w:bookmarkEnd w:id="3"/>
      <w:bookmarkEnd w:id="4"/>
      <w:bookmarkEnd w:id="5"/>
      <w:bookmarkEnd w:id="6"/>
      <w:bookmarkEnd w:id="7"/>
      <w:bookmarkEnd w:id="8"/>
      <w:bookmarkEnd w:id="9"/>
      <w:r>
        <w:rPr>
          <w:rFonts w:hint="eastAsia"/>
        </w:rPr>
        <w:t>封皮</w:t>
      </w:r>
    </w:p>
    <w:p w14:paraId="0F094C96" w14:textId="77777777" w:rsidR="00132524" w:rsidRPr="00A71A57" w:rsidRDefault="00132524" w:rsidP="00132524">
      <w:pPr>
        <w:rPr>
          <w:rFonts w:ascii="宋体" w:hAnsi="宋体"/>
        </w:rPr>
      </w:pPr>
    </w:p>
    <w:p w14:paraId="72CBC46C" w14:textId="77777777" w:rsidR="00132524" w:rsidRPr="00A71A57" w:rsidRDefault="00132524" w:rsidP="00132524">
      <w:pPr>
        <w:pStyle w:val="4"/>
        <w:jc w:val="center"/>
        <w:rPr>
          <w:rFonts w:ascii="黑体" w:eastAsia="黑体" w:hAnsi="黑体"/>
          <w:b/>
          <w:bCs/>
          <w:sz w:val="44"/>
          <w:szCs w:val="44"/>
        </w:rPr>
      </w:pPr>
    </w:p>
    <w:p w14:paraId="0E3B4A57" w14:textId="77777777" w:rsidR="00132524" w:rsidRPr="00A71A57" w:rsidRDefault="00132524" w:rsidP="00132524">
      <w:pPr>
        <w:pStyle w:val="4"/>
        <w:jc w:val="center"/>
        <w:rPr>
          <w:rFonts w:ascii="黑体" w:eastAsia="黑体" w:hAnsi="黑体"/>
          <w:b/>
          <w:bCs/>
          <w:sz w:val="44"/>
          <w:szCs w:val="44"/>
        </w:rPr>
      </w:pPr>
    </w:p>
    <w:p w14:paraId="139F9CB0" w14:textId="77777777" w:rsidR="00132524" w:rsidRPr="00A71A57" w:rsidRDefault="00132524" w:rsidP="00132524">
      <w:pPr>
        <w:pStyle w:val="4"/>
        <w:rPr>
          <w:rFonts w:ascii="楷体_GB2312" w:eastAsia="楷体_GB2312"/>
          <w:b/>
          <w:bCs/>
          <w:sz w:val="54"/>
        </w:rPr>
      </w:pPr>
    </w:p>
    <w:p w14:paraId="6D4ABE70"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778B8DC" w14:textId="77777777" w:rsidR="00132524" w:rsidRPr="00A71A57" w:rsidRDefault="00132524" w:rsidP="00132524">
      <w:pPr>
        <w:pStyle w:val="4"/>
        <w:spacing w:line="500" w:lineRule="exact"/>
        <w:rPr>
          <w:rFonts w:ascii="楷体_GB2312" w:eastAsia="楷体_GB2312"/>
          <w:b/>
          <w:sz w:val="32"/>
          <w:szCs w:val="32"/>
        </w:rPr>
      </w:pPr>
    </w:p>
    <w:p w14:paraId="1D58B899" w14:textId="77777777" w:rsidR="00132524" w:rsidRPr="00A71A57" w:rsidRDefault="00132524" w:rsidP="00132524">
      <w:pPr>
        <w:pStyle w:val="4"/>
        <w:spacing w:line="500" w:lineRule="exact"/>
        <w:ind w:firstLineChars="200" w:firstLine="562"/>
        <w:rPr>
          <w:rFonts w:ascii="楷体_GB2312" w:eastAsia="楷体_GB2312"/>
          <w:b/>
          <w:sz w:val="28"/>
        </w:rPr>
      </w:pPr>
    </w:p>
    <w:p w14:paraId="6FAE95E7" w14:textId="77777777" w:rsidR="00132524" w:rsidRPr="00A71A57" w:rsidRDefault="00132524" w:rsidP="00132524">
      <w:pPr>
        <w:pStyle w:val="4"/>
        <w:spacing w:line="500" w:lineRule="exact"/>
        <w:ind w:firstLineChars="200" w:firstLine="560"/>
        <w:rPr>
          <w:rFonts w:ascii="楷体_GB2312" w:eastAsia="楷体_GB2312"/>
          <w:sz w:val="28"/>
        </w:rPr>
      </w:pPr>
    </w:p>
    <w:p w14:paraId="17B9B455" w14:textId="77777777" w:rsidR="00132524" w:rsidRPr="00A71A57" w:rsidRDefault="00132524" w:rsidP="00132524">
      <w:pPr>
        <w:pStyle w:val="4"/>
        <w:spacing w:line="500" w:lineRule="exact"/>
        <w:ind w:firstLineChars="200" w:firstLine="560"/>
        <w:rPr>
          <w:rFonts w:ascii="楷体_GB2312" w:eastAsia="楷体_GB2312"/>
          <w:sz w:val="28"/>
        </w:rPr>
      </w:pPr>
    </w:p>
    <w:p w14:paraId="4A47ECA2" w14:textId="77777777" w:rsidR="00132524" w:rsidRPr="00A71A57" w:rsidRDefault="00132524" w:rsidP="00132524">
      <w:pPr>
        <w:pStyle w:val="4"/>
        <w:spacing w:line="500" w:lineRule="exact"/>
        <w:ind w:firstLineChars="200" w:firstLine="560"/>
        <w:rPr>
          <w:rFonts w:ascii="楷体_GB2312" w:eastAsia="楷体_GB2312"/>
          <w:sz w:val="28"/>
        </w:rPr>
      </w:pPr>
    </w:p>
    <w:p w14:paraId="444DCED4" w14:textId="77777777" w:rsidR="00132524" w:rsidRPr="00A71A57" w:rsidRDefault="00132524" w:rsidP="00132524">
      <w:pPr>
        <w:pStyle w:val="4"/>
        <w:spacing w:line="500" w:lineRule="exact"/>
        <w:ind w:firstLineChars="200" w:firstLine="560"/>
        <w:rPr>
          <w:rFonts w:ascii="楷体_GB2312" w:eastAsia="楷体_GB2312"/>
          <w:sz w:val="28"/>
        </w:rPr>
      </w:pPr>
    </w:p>
    <w:p w14:paraId="78047BE5" w14:textId="77777777" w:rsidR="00132524" w:rsidRPr="00A71A57" w:rsidRDefault="00132524" w:rsidP="00132524">
      <w:pPr>
        <w:pStyle w:val="4"/>
        <w:spacing w:line="500" w:lineRule="exact"/>
        <w:ind w:firstLineChars="200" w:firstLine="560"/>
        <w:rPr>
          <w:rFonts w:ascii="楷体_GB2312" w:eastAsia="楷体_GB2312"/>
          <w:sz w:val="28"/>
        </w:rPr>
      </w:pPr>
    </w:p>
    <w:p w14:paraId="5F11FB12" w14:textId="77777777" w:rsidR="00132524" w:rsidRPr="00A71A57" w:rsidRDefault="00132524" w:rsidP="00132524">
      <w:pPr>
        <w:pStyle w:val="4"/>
        <w:spacing w:line="500" w:lineRule="exact"/>
        <w:ind w:firstLineChars="200" w:firstLine="560"/>
        <w:rPr>
          <w:rFonts w:ascii="楷体_GB2312" w:eastAsia="楷体_GB2312"/>
          <w:sz w:val="28"/>
        </w:rPr>
      </w:pPr>
    </w:p>
    <w:p w14:paraId="4FD9DD8B"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74150EE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6EAE72D"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CB38908"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6E9CD005" w14:textId="77777777" w:rsidR="00132524" w:rsidRDefault="00132524" w:rsidP="00132524">
      <w:pPr>
        <w:ind w:leftChars="-67" w:left="-141" w:rightChars="-94" w:right="-197" w:firstLineChars="200" w:firstLine="883"/>
        <w:jc w:val="center"/>
        <w:rPr>
          <w:rFonts w:ascii="宋体" w:hAnsi="宋体"/>
          <w:b/>
          <w:sz w:val="44"/>
        </w:rPr>
      </w:pPr>
    </w:p>
    <w:p w14:paraId="10E54109" w14:textId="77777777" w:rsidR="00132524" w:rsidRDefault="00132524" w:rsidP="00132524">
      <w:pPr>
        <w:ind w:leftChars="-67" w:left="-141" w:rightChars="-94" w:right="-197" w:firstLineChars="200" w:firstLine="883"/>
        <w:jc w:val="center"/>
        <w:rPr>
          <w:rFonts w:ascii="宋体" w:hAnsi="宋体"/>
          <w:b/>
          <w:sz w:val="44"/>
        </w:rPr>
      </w:pPr>
    </w:p>
    <w:p w14:paraId="45FCBB6E" w14:textId="77777777" w:rsidR="00132524" w:rsidRDefault="00132524" w:rsidP="00132524">
      <w:pPr>
        <w:ind w:leftChars="-67" w:left="-141" w:rightChars="-94" w:right="-197" w:firstLineChars="200" w:firstLine="883"/>
        <w:jc w:val="center"/>
        <w:rPr>
          <w:rFonts w:ascii="宋体" w:hAnsi="宋体"/>
          <w:b/>
          <w:sz w:val="44"/>
        </w:rPr>
      </w:pPr>
    </w:p>
    <w:p w14:paraId="0BAF378B"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5BF27509" w14:textId="77777777" w:rsidR="00132524" w:rsidRDefault="00132524" w:rsidP="00132524">
      <w:pPr>
        <w:spacing w:line="360" w:lineRule="auto"/>
        <w:rPr>
          <w:rFonts w:ascii="宋体" w:hAnsi="宋体"/>
          <w:sz w:val="24"/>
        </w:rPr>
      </w:pPr>
    </w:p>
    <w:p w14:paraId="7F80B42E"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78D47B8"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2050CD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6C9D039"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745DED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E81D60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5FCF68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489878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0793FD2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B214FFC" w14:textId="77777777" w:rsidR="00132524" w:rsidRDefault="00132524" w:rsidP="00AE1231">
            <w:pPr>
              <w:pStyle w:val="000"/>
              <w:adjustRightInd w:val="0"/>
              <w:snapToGrid w:val="0"/>
              <w:spacing w:line="500" w:lineRule="exact"/>
              <w:jc w:val="center"/>
              <w:rPr>
                <w:rFonts w:ascii="宋体" w:hAnsi="宋体"/>
                <w:szCs w:val="28"/>
              </w:rPr>
            </w:pPr>
          </w:p>
          <w:p w14:paraId="58065FBF"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53628D30" w14:textId="77777777" w:rsidR="00132524" w:rsidRDefault="00132524" w:rsidP="00132524">
      <w:pPr>
        <w:pStyle w:val="000"/>
        <w:adjustRightInd w:val="0"/>
        <w:snapToGrid w:val="0"/>
        <w:spacing w:line="500" w:lineRule="exact"/>
        <w:rPr>
          <w:rFonts w:ascii="宋体" w:hAnsi="宋体"/>
          <w:szCs w:val="28"/>
        </w:rPr>
      </w:pPr>
    </w:p>
    <w:p w14:paraId="06CF5F1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C803B2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E6AA87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CE3194" w14:textId="77777777" w:rsidR="00132524" w:rsidRDefault="00132524" w:rsidP="00132524">
      <w:pPr>
        <w:spacing w:line="360" w:lineRule="auto"/>
        <w:jc w:val="right"/>
        <w:rPr>
          <w:rFonts w:ascii="宋体" w:hAnsi="宋体"/>
          <w:sz w:val="24"/>
        </w:rPr>
      </w:pPr>
    </w:p>
    <w:p w14:paraId="2D50CBC4"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0FA5DF3F"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69721A79" w14:textId="77777777" w:rsidR="00132524" w:rsidRDefault="00132524" w:rsidP="00132524">
      <w:pPr>
        <w:pStyle w:val="300"/>
      </w:pPr>
      <w:r>
        <w:rPr>
          <w:rFonts w:hint="eastAsia"/>
        </w:rPr>
        <w:lastRenderedPageBreak/>
        <w:t xml:space="preserve">单位负责人资格证明文件 </w:t>
      </w:r>
    </w:p>
    <w:p w14:paraId="596E82B3"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F98F8B2"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A89C58B"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26C292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A73BE3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55455C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F6B0341"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768B503"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91E0C29"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76F4EE88" w14:textId="77777777" w:rsidR="00132524" w:rsidRDefault="00132524" w:rsidP="00AE1231">
            <w:pPr>
              <w:pStyle w:val="000"/>
              <w:adjustRightInd w:val="0"/>
              <w:snapToGrid w:val="0"/>
              <w:spacing w:line="500" w:lineRule="exact"/>
              <w:jc w:val="center"/>
              <w:rPr>
                <w:rFonts w:ascii="宋体" w:hAnsi="宋体"/>
                <w:szCs w:val="28"/>
              </w:rPr>
            </w:pPr>
          </w:p>
          <w:p w14:paraId="2D6FCB52"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4D7E2A1"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70C55A48" w14:textId="77777777" w:rsidR="00132524" w:rsidRDefault="00132524" w:rsidP="00132524">
      <w:pPr>
        <w:pStyle w:val="000"/>
        <w:adjustRightInd w:val="0"/>
        <w:snapToGrid w:val="0"/>
        <w:spacing w:line="500" w:lineRule="exact"/>
        <w:rPr>
          <w:rFonts w:ascii="宋体" w:hAnsi="宋体"/>
          <w:szCs w:val="28"/>
        </w:rPr>
      </w:pPr>
    </w:p>
    <w:p w14:paraId="5E2570BE"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5D631B23"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E15000E"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6AFF9F8" w14:textId="77777777" w:rsidR="00132524" w:rsidRDefault="00132524" w:rsidP="00132524">
      <w:pPr>
        <w:spacing w:line="360" w:lineRule="auto"/>
        <w:jc w:val="right"/>
        <w:rPr>
          <w:rFonts w:ascii="宋体" w:hAnsi="宋体"/>
          <w:sz w:val="24"/>
        </w:rPr>
      </w:pPr>
    </w:p>
    <w:p w14:paraId="6815739C"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1A0123AE" w14:textId="77777777" w:rsidR="00132524" w:rsidRDefault="00132524" w:rsidP="00132524">
      <w:pPr>
        <w:pStyle w:val="300"/>
      </w:pPr>
      <w:r>
        <w:rPr>
          <w:rFonts w:hint="eastAsia"/>
        </w:rPr>
        <w:lastRenderedPageBreak/>
        <w:t xml:space="preserve">自然人资格证明文件 </w:t>
      </w:r>
    </w:p>
    <w:p w14:paraId="38C2954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BE611E0"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448779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B21DFE9"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D97BC9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12BE478"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BE8BF2A"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AFA739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318F702"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25305C31" w14:textId="77777777" w:rsidR="00132524" w:rsidRDefault="00132524" w:rsidP="00AE1231">
            <w:pPr>
              <w:pStyle w:val="000"/>
              <w:adjustRightInd w:val="0"/>
              <w:snapToGrid w:val="0"/>
              <w:spacing w:line="500" w:lineRule="exact"/>
              <w:jc w:val="center"/>
              <w:rPr>
                <w:rFonts w:ascii="宋体" w:hAnsi="宋体"/>
                <w:szCs w:val="28"/>
              </w:rPr>
            </w:pPr>
          </w:p>
          <w:p w14:paraId="4B4D8776"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8529487"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3FC8B3DC" w14:textId="77777777" w:rsidR="00132524" w:rsidRDefault="00132524" w:rsidP="00132524">
      <w:pPr>
        <w:pStyle w:val="000"/>
        <w:adjustRightInd w:val="0"/>
        <w:snapToGrid w:val="0"/>
        <w:spacing w:line="500" w:lineRule="exact"/>
        <w:ind w:left="0" w:firstLine="0"/>
        <w:rPr>
          <w:rFonts w:ascii="宋体" w:hAnsi="宋体"/>
          <w:szCs w:val="28"/>
        </w:rPr>
      </w:pPr>
    </w:p>
    <w:p w14:paraId="11A8D83D"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57C636B"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FFECFB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D749DFD" w14:textId="77777777" w:rsidR="00132524" w:rsidRDefault="00132524" w:rsidP="00132524">
      <w:pPr>
        <w:pStyle w:val="300"/>
        <w:jc w:val="both"/>
        <w:rPr>
          <w:b w:val="0"/>
        </w:rPr>
      </w:pPr>
    </w:p>
    <w:p w14:paraId="0DDDD751"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29A0131" w14:textId="77777777" w:rsidR="00132524" w:rsidRDefault="00132524" w:rsidP="00132524">
      <w:pPr>
        <w:pStyle w:val="300"/>
      </w:pPr>
      <w:r>
        <w:rPr>
          <w:rFonts w:hint="eastAsia"/>
        </w:rPr>
        <w:lastRenderedPageBreak/>
        <w:t>授权委托书</w:t>
      </w:r>
    </w:p>
    <w:p w14:paraId="392C6235"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6C067F0"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4E60567A"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60E25C90"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6705DCC6"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66F37750"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25351AAC"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14CED76"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3ABE5713"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7F3E8B73"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1D78B4D7" w14:textId="77777777" w:rsidR="004E620F" w:rsidRDefault="004E620F" w:rsidP="00AE1231">
            <w:pPr>
              <w:pStyle w:val="000"/>
              <w:spacing w:line="500" w:lineRule="exact"/>
              <w:rPr>
                <w:rFonts w:ascii="宋体" w:hAnsi="宋体"/>
                <w:szCs w:val="28"/>
              </w:rPr>
            </w:pPr>
          </w:p>
        </w:tc>
      </w:tr>
    </w:tbl>
    <w:p w14:paraId="331F4BDF"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4968A" w14:textId="77777777" w:rsidR="00214799" w:rsidRDefault="00214799" w:rsidP="00D3588F">
      <w:pPr>
        <w:rPr>
          <w:rFonts w:cs="Times New Roman"/>
        </w:rPr>
      </w:pPr>
      <w:r>
        <w:rPr>
          <w:rFonts w:cs="Times New Roman"/>
        </w:rPr>
        <w:separator/>
      </w:r>
    </w:p>
  </w:endnote>
  <w:endnote w:type="continuationSeparator" w:id="0">
    <w:p w14:paraId="59040BE7" w14:textId="77777777" w:rsidR="00214799" w:rsidRDefault="0021479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00FE" w14:textId="77777777" w:rsidR="00214799" w:rsidRDefault="00214799" w:rsidP="00D3588F">
      <w:pPr>
        <w:rPr>
          <w:rFonts w:cs="Times New Roman"/>
        </w:rPr>
      </w:pPr>
      <w:r>
        <w:rPr>
          <w:rFonts w:cs="Times New Roman"/>
        </w:rPr>
        <w:separator/>
      </w:r>
    </w:p>
  </w:footnote>
  <w:footnote w:type="continuationSeparator" w:id="0">
    <w:p w14:paraId="6F76693F" w14:textId="77777777" w:rsidR="00214799" w:rsidRDefault="0021479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2B81"/>
    <w:rsid w:val="001D682D"/>
    <w:rsid w:val="001F1AD5"/>
    <w:rsid w:val="001F4223"/>
    <w:rsid w:val="00210978"/>
    <w:rsid w:val="00214799"/>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16A6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4C9C"/>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0413F"/>
    <w:rsid w:val="00914444"/>
    <w:rsid w:val="009255E9"/>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A7DE3"/>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1796"/>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55266"/>
    <w:rsid w:val="00C60BD0"/>
    <w:rsid w:val="00C70B90"/>
    <w:rsid w:val="00C755D3"/>
    <w:rsid w:val="00C757D4"/>
    <w:rsid w:val="00C82236"/>
    <w:rsid w:val="00C8699A"/>
    <w:rsid w:val="00C94673"/>
    <w:rsid w:val="00C96707"/>
    <w:rsid w:val="00C97993"/>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0606A"/>
    <w:rsid w:val="00E12CB9"/>
    <w:rsid w:val="00E253DE"/>
    <w:rsid w:val="00E25BB4"/>
    <w:rsid w:val="00E31918"/>
    <w:rsid w:val="00E36F05"/>
    <w:rsid w:val="00E44F82"/>
    <w:rsid w:val="00E50BF9"/>
    <w:rsid w:val="00E648DA"/>
    <w:rsid w:val="00EA608F"/>
    <w:rsid w:val="00EC0674"/>
    <w:rsid w:val="00EC6C82"/>
    <w:rsid w:val="00ED0C25"/>
    <w:rsid w:val="00ED19AE"/>
    <w:rsid w:val="00EF0F47"/>
    <w:rsid w:val="00EF65AE"/>
    <w:rsid w:val="00EF7B8A"/>
    <w:rsid w:val="00F01B0C"/>
    <w:rsid w:val="00F05662"/>
    <w:rsid w:val="00F12EE2"/>
    <w:rsid w:val="00F134B8"/>
    <w:rsid w:val="00F13956"/>
    <w:rsid w:val="00F17EE5"/>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8C9930"/>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43D0A-503B-4292-89EC-97DF3DB5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16</Pages>
  <Words>1270</Words>
  <Characters>7241</Characters>
  <Application>Microsoft Office Word</Application>
  <DocSecurity>0</DocSecurity>
  <Lines>60</Lines>
  <Paragraphs>16</Paragraphs>
  <ScaleCrop>false</ScaleCrop>
  <Company>Microsoft</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83</cp:revision>
  <cp:lastPrinted>2018-08-22T03:24:00Z</cp:lastPrinted>
  <dcterms:created xsi:type="dcterms:W3CDTF">2018-08-22T03:26:00Z</dcterms:created>
  <dcterms:modified xsi:type="dcterms:W3CDTF">2022-06-02T02:15:00Z</dcterms:modified>
</cp:coreProperties>
</file>