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AE" w:rsidRDefault="00135135">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rsidR="00DE18AE" w:rsidRDefault="00135135">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rsidR="00DE18AE" w:rsidRDefault="00135135">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273780" w:rsidRPr="00273780">
        <w:rPr>
          <w:rFonts w:hint="eastAsia"/>
          <w:sz w:val="28"/>
          <w:szCs w:val="28"/>
        </w:rPr>
        <w:t>2023年度信息安全等级保护测评项目</w:t>
      </w:r>
      <w:r>
        <w:rPr>
          <w:rFonts w:hint="eastAsia"/>
          <w:sz w:val="28"/>
          <w:szCs w:val="28"/>
        </w:rPr>
        <w:t>进行院内采购，欢迎广大符合条件的投标人踊跃投标。</w:t>
      </w:r>
    </w:p>
    <w:p w:rsidR="00DE18AE" w:rsidRDefault="00135135">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DE18AE" w:rsidRDefault="00135135">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273780">
        <w:rPr>
          <w:rFonts w:hint="eastAsia"/>
          <w:color w:val="000000"/>
          <w:sz w:val="28"/>
          <w:szCs w:val="28"/>
        </w:rPr>
        <w:t>72</w:t>
      </w:r>
    </w:p>
    <w:p w:rsidR="00DE18AE" w:rsidRDefault="00135135">
      <w:pPr>
        <w:pStyle w:val="a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sidR="00273780" w:rsidRPr="00273780">
        <w:rPr>
          <w:rFonts w:hint="eastAsia"/>
          <w:sz w:val="28"/>
          <w:szCs w:val="28"/>
        </w:rPr>
        <w:t>2023年度信息安全等级保护测评项目</w:t>
      </w:r>
    </w:p>
    <w:p w:rsidR="00DE18AE" w:rsidRDefault="00135135">
      <w:pPr>
        <w:pStyle w:val="a8"/>
        <w:shd w:val="clear" w:color="auto" w:fill="FFFFFF"/>
        <w:spacing w:before="0" w:beforeAutospacing="0" w:after="0" w:afterAutospacing="0"/>
        <w:rPr>
          <w:rFonts w:cs="Times New Roman"/>
          <w:sz w:val="28"/>
          <w:szCs w:val="28"/>
        </w:rPr>
      </w:pPr>
      <w:r>
        <w:rPr>
          <w:rStyle w:val="ab"/>
          <w:rFonts w:hint="eastAsia"/>
          <w:sz w:val="28"/>
          <w:szCs w:val="28"/>
        </w:rPr>
        <w:t>二、采购文件获取</w:t>
      </w:r>
    </w:p>
    <w:p w:rsidR="00DE18AE" w:rsidRDefault="0013513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E18AE" w:rsidRDefault="00135135">
      <w:pPr>
        <w:pStyle w:val="a8"/>
        <w:shd w:val="clear" w:color="auto" w:fill="FFFFFF"/>
        <w:spacing w:before="0" w:beforeAutospacing="0" w:after="0" w:afterAutospacing="0"/>
        <w:rPr>
          <w:rFonts w:cs="Times New Roman"/>
          <w:sz w:val="28"/>
          <w:szCs w:val="28"/>
        </w:rPr>
      </w:pPr>
      <w:r>
        <w:rPr>
          <w:rStyle w:val="ab"/>
          <w:rFonts w:hint="eastAsia"/>
          <w:sz w:val="28"/>
          <w:szCs w:val="28"/>
        </w:rPr>
        <w:t>三、投标文件递交</w:t>
      </w:r>
    </w:p>
    <w:p w:rsidR="00DE18AE" w:rsidRDefault="00135135">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2023</w:t>
      </w:r>
      <w:r>
        <w:rPr>
          <w:rFonts w:hint="eastAsia"/>
          <w:color w:val="FF0000"/>
          <w:sz w:val="28"/>
          <w:szCs w:val="28"/>
        </w:rPr>
        <w:t>年</w:t>
      </w:r>
      <w:r w:rsidR="00273780">
        <w:rPr>
          <w:color w:val="FF0000"/>
          <w:sz w:val="28"/>
          <w:szCs w:val="28"/>
        </w:rPr>
        <w:t>7</w:t>
      </w:r>
      <w:r>
        <w:rPr>
          <w:rFonts w:hint="eastAsia"/>
          <w:color w:val="FF0000"/>
          <w:sz w:val="28"/>
          <w:szCs w:val="28"/>
        </w:rPr>
        <w:t>月</w:t>
      </w:r>
      <w:r w:rsidR="00273780">
        <w:rPr>
          <w:color w:val="FF0000"/>
          <w:sz w:val="28"/>
          <w:szCs w:val="28"/>
        </w:rPr>
        <w:t>21</w:t>
      </w:r>
      <w:r>
        <w:rPr>
          <w:rFonts w:hint="eastAsia"/>
          <w:color w:val="FF0000"/>
          <w:sz w:val="28"/>
          <w:szCs w:val="28"/>
        </w:rPr>
        <w:t>日</w:t>
      </w:r>
      <w:r w:rsidR="00273780">
        <w:rPr>
          <w:color w:val="FF0000"/>
          <w:sz w:val="28"/>
          <w:szCs w:val="28"/>
        </w:rPr>
        <w:t>9</w:t>
      </w:r>
      <w:r>
        <w:rPr>
          <w:color w:val="FF0000"/>
          <w:sz w:val="28"/>
          <w:szCs w:val="28"/>
        </w:rPr>
        <w:t>:30</w:t>
      </w:r>
      <w:r>
        <w:rPr>
          <w:rFonts w:hint="eastAsia"/>
          <w:sz w:val="28"/>
          <w:szCs w:val="28"/>
        </w:rPr>
        <w:t>。</w:t>
      </w:r>
    </w:p>
    <w:p w:rsidR="00DE18AE" w:rsidRDefault="00135135">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E18AE" w:rsidRDefault="0013513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E18AE" w:rsidRDefault="0013513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E18AE" w:rsidRDefault="0013513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E18AE" w:rsidRDefault="00135135">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E18AE" w:rsidRDefault="00135135">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w:t>
      </w:r>
      <w:r>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DE18AE" w:rsidRDefault="00135135">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DE18AE" w:rsidRDefault="00135135">
      <w:pPr>
        <w:pStyle w:val="a8"/>
        <w:shd w:val="clear" w:color="auto" w:fill="FFFFFF"/>
        <w:spacing w:before="0" w:beforeAutospacing="0" w:after="0" w:afterAutospacing="0"/>
        <w:rPr>
          <w:rFonts w:cs="Times New Roman"/>
          <w:sz w:val="28"/>
          <w:szCs w:val="28"/>
        </w:rPr>
      </w:pPr>
      <w:r>
        <w:rPr>
          <w:rStyle w:val="ab"/>
          <w:rFonts w:hint="eastAsia"/>
          <w:sz w:val="28"/>
          <w:szCs w:val="28"/>
        </w:rPr>
        <w:t>四、发布公告媒介</w:t>
      </w:r>
    </w:p>
    <w:p w:rsidR="00DE18AE" w:rsidRDefault="0013513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DE18AE" w:rsidRDefault="00135135">
      <w:pPr>
        <w:pStyle w:val="a8"/>
        <w:shd w:val="clear" w:color="auto" w:fill="FFFFFF"/>
        <w:spacing w:before="0" w:beforeAutospacing="0" w:after="0" w:afterAutospacing="0"/>
        <w:rPr>
          <w:rFonts w:cs="Times New Roman"/>
          <w:sz w:val="28"/>
          <w:szCs w:val="28"/>
        </w:rPr>
      </w:pPr>
      <w:r>
        <w:rPr>
          <w:rStyle w:val="ab"/>
          <w:rFonts w:hint="eastAsia"/>
          <w:sz w:val="28"/>
          <w:szCs w:val="28"/>
        </w:rPr>
        <w:t>五、联系方式</w:t>
      </w:r>
    </w:p>
    <w:p w:rsidR="00DE18AE" w:rsidRDefault="0013513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E18AE" w:rsidRDefault="0013513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E18AE" w:rsidRDefault="0013513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人：陈科长</w:t>
      </w:r>
      <w:r>
        <w:rPr>
          <w:sz w:val="28"/>
          <w:szCs w:val="28"/>
        </w:rPr>
        <w:t>/</w:t>
      </w:r>
      <w:r>
        <w:rPr>
          <w:rFonts w:hint="eastAsia"/>
          <w:sz w:val="28"/>
          <w:szCs w:val="28"/>
        </w:rPr>
        <w:t>周老师</w:t>
      </w:r>
    </w:p>
    <w:p w:rsidR="00DE18AE" w:rsidRDefault="00135135">
      <w:pPr>
        <w:ind w:firstLineChars="200" w:firstLine="560"/>
        <w:jc w:val="left"/>
        <w:rPr>
          <w:rFonts w:asciiTheme="minorEastAsia" w:eastAsiaTheme="minorEastAsia" w:hAnsiTheme="minorEastAsia" w:cs="黑体"/>
          <w:b/>
          <w:bCs/>
          <w:sz w:val="52"/>
          <w:szCs w:val="52"/>
        </w:rPr>
        <w:sectPr w:rsidR="00DE18AE">
          <w:footerReference w:type="default" r:id="rId9"/>
          <w:pgSz w:w="11906" w:h="16838"/>
          <w:pgMar w:top="1440" w:right="1800" w:bottom="1440" w:left="1800" w:header="851" w:footer="992" w:gutter="0"/>
          <w:cols w:space="720"/>
          <w:docGrid w:type="lines" w:linePitch="312"/>
        </w:sectPr>
      </w:pPr>
      <w:r>
        <w:rPr>
          <w:rFonts w:ascii="宋体" w:hAnsi="宋体" w:hint="eastAsia"/>
          <w:sz w:val="28"/>
          <w:szCs w:val="28"/>
        </w:rPr>
        <w:t>联系电话：</w:t>
      </w:r>
      <w:r>
        <w:rPr>
          <w:rFonts w:ascii="宋体" w:hAnsi="宋体"/>
          <w:sz w:val="28"/>
          <w:szCs w:val="28"/>
        </w:rPr>
        <w:t xml:space="preserve">0717-6483506 /0717-6486583 </w:t>
      </w:r>
    </w:p>
    <w:p w:rsidR="00DE18AE" w:rsidRDefault="0013513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DE18AE" w:rsidRDefault="00135135">
      <w:pPr>
        <w:jc w:val="center"/>
        <w:outlineLvl w:val="0"/>
        <w:rPr>
          <w:rFonts w:asciiTheme="minorEastAsia" w:eastAsiaTheme="minorEastAsia" w:hAnsiTheme="minorEastAsia" w:cs="Times New Roman"/>
          <w:b/>
          <w:bCs/>
          <w:sz w:val="52"/>
          <w:szCs w:val="52"/>
        </w:rPr>
      </w:pPr>
      <w:r>
        <w:rPr>
          <w:rFonts w:ascii="黑体" w:eastAsia="黑体" w:cs="黑体" w:hint="eastAsia"/>
          <w:sz w:val="44"/>
          <w:szCs w:val="44"/>
        </w:rPr>
        <w:t>采购文件</w:t>
      </w:r>
    </w:p>
    <w:p w:rsidR="00DE18AE" w:rsidRDefault="00135135">
      <w:pPr>
        <w:pStyle w:val="1"/>
        <w:spacing w:before="0" w:after="0"/>
        <w:rPr>
          <w:rStyle w:val="NEW"/>
        </w:rPr>
      </w:pPr>
      <w:r>
        <w:rPr>
          <w:rStyle w:val="NEW"/>
          <w:rFonts w:hint="eastAsia"/>
        </w:rPr>
        <w:t>一、采购内容</w:t>
      </w:r>
    </w:p>
    <w:p w:rsidR="00DE18AE" w:rsidRDefault="00135135">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YCZXYYZB-YN-</w:t>
      </w:r>
      <w:r>
        <w:rPr>
          <w:rFonts w:asciiTheme="minorEastAsia" w:eastAsiaTheme="minorEastAsia" w:hAnsiTheme="minorEastAsia" w:cs="宋体" w:hint="eastAsia"/>
          <w:sz w:val="28"/>
          <w:szCs w:val="28"/>
        </w:rPr>
        <w:t>202</w:t>
      </w: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w:t>
      </w:r>
      <w:r w:rsidR="00273780">
        <w:rPr>
          <w:rFonts w:asciiTheme="minorEastAsia" w:eastAsiaTheme="minorEastAsia" w:hAnsiTheme="minorEastAsia" w:cs="宋体" w:hint="eastAsia"/>
          <w:sz w:val="28"/>
          <w:szCs w:val="28"/>
        </w:rPr>
        <w:t>72</w:t>
      </w:r>
    </w:p>
    <w:p w:rsidR="00DE18AE" w:rsidRDefault="00135135">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2</w:t>
      </w:r>
      <w:r>
        <w:rPr>
          <w:rFonts w:asciiTheme="minorEastAsia" w:eastAsiaTheme="minorEastAsia" w:hAnsiTheme="minorEastAsia" w:cs="宋体" w:hint="eastAsia"/>
          <w:sz w:val="28"/>
          <w:szCs w:val="28"/>
        </w:rPr>
        <w:t>、项目名称：</w:t>
      </w:r>
      <w:r>
        <w:rPr>
          <w:rFonts w:hint="eastAsia"/>
          <w:sz w:val="28"/>
          <w:szCs w:val="28"/>
        </w:rPr>
        <w:t>宜昌市中心人民医院</w:t>
      </w:r>
      <w:r w:rsidR="00273780" w:rsidRPr="00273780">
        <w:rPr>
          <w:rFonts w:hint="eastAsia"/>
          <w:sz w:val="28"/>
          <w:szCs w:val="28"/>
        </w:rPr>
        <w:t>2023</w:t>
      </w:r>
      <w:r w:rsidR="00273780" w:rsidRPr="00273780">
        <w:rPr>
          <w:rFonts w:hint="eastAsia"/>
          <w:sz w:val="28"/>
          <w:szCs w:val="28"/>
        </w:rPr>
        <w:t>年度信息安全等级保护测评项目</w:t>
      </w:r>
      <w:bookmarkStart w:id="0" w:name="_GoBack"/>
      <w:bookmarkEnd w:id="0"/>
    </w:p>
    <w:p w:rsidR="00DE18AE" w:rsidRDefault="00135135">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、项目预算：</w:t>
      </w:r>
      <w:r>
        <w:rPr>
          <w:rFonts w:asciiTheme="minorEastAsia" w:eastAsiaTheme="minorEastAsia" w:hAnsiTheme="minorEastAsia" w:cs="宋体"/>
          <w:kern w:val="0"/>
          <w:sz w:val="28"/>
          <w:szCs w:val="28"/>
        </w:rPr>
        <w:t>18</w:t>
      </w:r>
      <w:r>
        <w:rPr>
          <w:rFonts w:asciiTheme="minorEastAsia" w:eastAsiaTheme="minorEastAsia" w:hAnsiTheme="minorEastAsia"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Theme="minorEastAsia" w:eastAsiaTheme="minorEastAsia" w:hAnsiTheme="minorEastAsia" w:cs="宋体"/>
          <w:b/>
          <w:kern w:val="0"/>
          <w:sz w:val="28"/>
          <w:szCs w:val="28"/>
        </w:rPr>
        <w:t>。</w:t>
      </w:r>
      <w:r>
        <w:rPr>
          <w:rFonts w:asciiTheme="minorEastAsia" w:eastAsiaTheme="minorEastAsia" w:hAnsiTheme="minorEastAsia" w:cs="宋体" w:hint="eastAsia"/>
          <w:kern w:val="0"/>
          <w:sz w:val="28"/>
          <w:szCs w:val="28"/>
        </w:rPr>
        <w:t>投标人报价为合同包干价，</w:t>
      </w:r>
      <w:r>
        <w:rPr>
          <w:rFonts w:asciiTheme="minorEastAsia" w:eastAsiaTheme="minorEastAsia" w:hAnsiTheme="minorEastAsia" w:cs="宋体"/>
          <w:kern w:val="0"/>
          <w:sz w:val="28"/>
          <w:szCs w:val="28"/>
        </w:rPr>
        <w:t>需考虑项目执行中</w:t>
      </w:r>
      <w:r>
        <w:rPr>
          <w:rFonts w:asciiTheme="minorEastAsia" w:eastAsiaTheme="minorEastAsia" w:hAnsiTheme="minorEastAsia" w:cs="宋体" w:hint="eastAsia"/>
          <w:kern w:val="0"/>
          <w:sz w:val="28"/>
          <w:szCs w:val="28"/>
        </w:rPr>
        <w:t>可能发生</w:t>
      </w:r>
      <w:r>
        <w:rPr>
          <w:rFonts w:asciiTheme="minorEastAsia" w:eastAsiaTheme="minorEastAsia" w:hAnsiTheme="minorEastAsia" w:cs="宋体"/>
          <w:kern w:val="0"/>
          <w:sz w:val="28"/>
          <w:szCs w:val="28"/>
        </w:rPr>
        <w:t>事宜</w:t>
      </w:r>
      <w:r>
        <w:rPr>
          <w:rFonts w:asciiTheme="minorEastAsia" w:eastAsiaTheme="minorEastAsia" w:hAnsiTheme="minorEastAsia" w:cs="宋体" w:hint="eastAsia"/>
          <w:kern w:val="0"/>
          <w:sz w:val="28"/>
          <w:szCs w:val="28"/>
        </w:rPr>
        <w:t>的费用</w:t>
      </w:r>
      <w:r>
        <w:rPr>
          <w:rFonts w:asciiTheme="minorEastAsia" w:eastAsiaTheme="minorEastAsia" w:hAnsiTheme="minorEastAsia" w:cs="宋体"/>
          <w:kern w:val="0"/>
          <w:sz w:val="28"/>
          <w:szCs w:val="28"/>
        </w:rPr>
        <w:t>，</w:t>
      </w:r>
      <w:r>
        <w:rPr>
          <w:rFonts w:asciiTheme="minorEastAsia" w:eastAsiaTheme="minorEastAsia" w:hAnsiTheme="minorEastAsia" w:cs="宋体" w:hint="eastAsia"/>
          <w:kern w:val="0"/>
          <w:sz w:val="28"/>
          <w:szCs w:val="28"/>
        </w:rPr>
        <w:t>项目执行过程中不再增加任何费用。</w:t>
      </w:r>
    </w:p>
    <w:p w:rsidR="00DE18AE" w:rsidRDefault="00135135">
      <w:pPr>
        <w:pStyle w:val="1"/>
        <w:spacing w:before="0" w:after="0"/>
        <w:rPr>
          <w:rStyle w:val="NEW"/>
          <w:szCs w:val="22"/>
        </w:rPr>
      </w:pPr>
      <w:r>
        <w:rPr>
          <w:rStyle w:val="NEW"/>
          <w:rFonts w:hint="eastAsia"/>
          <w:szCs w:val="22"/>
        </w:rPr>
        <w:t>二、项目资格要求</w:t>
      </w:r>
    </w:p>
    <w:p w:rsidR="00DE18AE" w:rsidRDefault="0013513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DE18AE" w:rsidRDefault="0013513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DE18AE" w:rsidRDefault="0013513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w:t>
      </w:r>
      <w:r>
        <w:rPr>
          <w:rFonts w:ascii="宋体" w:hAnsi="宋体" w:hint="eastAsia"/>
          <w:color w:val="000000"/>
          <w:sz w:val="28"/>
          <w:szCs w:val="28"/>
          <w:shd w:val="clear" w:color="auto" w:fill="FFFFFF"/>
        </w:rPr>
        <w:t>人为同一人或者存在直接控股、管理关系的不同供应商，不得参加本项目同一合同项下的采购活动。</w:t>
      </w:r>
    </w:p>
    <w:p w:rsidR="00DE18AE" w:rsidRDefault="00135135">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、供应商必须具有国家网络安全等级保护工作协调小组办公室颁发的《网络安全等级保护测评机构推荐证书》。省外等级保护测评机构须在湖北省网络安全等级保护工作领导小组办公室办理异地测评备案手续。</w:t>
      </w:r>
    </w:p>
    <w:p w:rsidR="00DE18AE" w:rsidRDefault="00135135">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5</w:t>
      </w:r>
      <w:r>
        <w:rPr>
          <w:rFonts w:asciiTheme="minorEastAsia" w:eastAsiaTheme="minorEastAsia" w:hAnsiTheme="minorEastAsia" w:cs="宋体" w:hint="eastAsia"/>
          <w:kern w:val="0"/>
          <w:sz w:val="28"/>
          <w:szCs w:val="28"/>
        </w:rPr>
        <w:t>、供应商需具有专业化的项目实施队伍或具备公安机关认可的攻防演练实验室；项目实施负责人应具有等级保护高级测评师资质或</w:t>
      </w:r>
      <w:r>
        <w:rPr>
          <w:rFonts w:asciiTheme="minorEastAsia" w:eastAsiaTheme="minorEastAsia" w:hAnsiTheme="minorEastAsia" w:cs="宋体" w:hint="eastAsia"/>
          <w:kern w:val="0"/>
          <w:sz w:val="28"/>
          <w:szCs w:val="28"/>
        </w:rPr>
        <w:lastRenderedPageBreak/>
        <w:t>软件测试高级资质，等保测评实施人员必须具有等级测评师资质（</w:t>
      </w:r>
      <w:r>
        <w:rPr>
          <w:rFonts w:asciiTheme="minorEastAsia" w:eastAsiaTheme="minorEastAsia" w:hAnsiTheme="minorEastAsia" w:cs="宋体" w:hint="eastAsia"/>
          <w:kern w:val="0"/>
          <w:sz w:val="28"/>
          <w:szCs w:val="28"/>
        </w:rPr>
        <w:t>DJCP</w:t>
      </w:r>
      <w:r>
        <w:rPr>
          <w:rFonts w:asciiTheme="minorEastAsia" w:eastAsiaTheme="minorEastAsia" w:hAnsiTheme="minorEastAsia" w:cs="宋体" w:hint="eastAsia"/>
          <w:kern w:val="0"/>
          <w:sz w:val="28"/>
          <w:szCs w:val="28"/>
        </w:rPr>
        <w:t>）或高级工程师资质，等级测评师不少于</w:t>
      </w: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人。（提供相应</w:t>
      </w:r>
      <w:r>
        <w:rPr>
          <w:rFonts w:asciiTheme="minorEastAsia" w:eastAsiaTheme="minorEastAsia" w:hAnsiTheme="minorEastAsia" w:cs="宋体" w:hint="eastAsia"/>
          <w:kern w:val="0"/>
          <w:sz w:val="28"/>
          <w:szCs w:val="28"/>
        </w:rPr>
        <w:t>证明文件复印件加盖公章）。</w:t>
      </w:r>
    </w:p>
    <w:p w:rsidR="00DE18AE" w:rsidRDefault="00135135">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6</w:t>
      </w:r>
      <w:r>
        <w:rPr>
          <w:rFonts w:asciiTheme="minorEastAsia" w:eastAsiaTheme="minorEastAsia" w:hAnsiTheme="minorEastAsia" w:cs="宋体" w:hint="eastAsia"/>
          <w:kern w:val="0"/>
          <w:sz w:val="28"/>
          <w:szCs w:val="28"/>
        </w:rPr>
        <w:t>、近三年内被中关村信息安全测评联盟或相关行业主管部门责令整改过的测评机构，不得参与本项目的投标与测评等相关事宜。</w:t>
      </w:r>
    </w:p>
    <w:p w:rsidR="00DE18AE" w:rsidRDefault="00135135">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7</w:t>
      </w:r>
      <w:r>
        <w:rPr>
          <w:rFonts w:asciiTheme="minorEastAsia" w:eastAsiaTheme="minorEastAsia" w:hAnsiTheme="minorEastAsia" w:cs="宋体" w:hint="eastAsia"/>
          <w:kern w:val="0"/>
          <w:sz w:val="28"/>
          <w:szCs w:val="28"/>
        </w:rPr>
        <w:t>、本项目不接受联合体参加投标，投标人</w:t>
      </w:r>
      <w:r>
        <w:rPr>
          <w:rFonts w:asciiTheme="minorEastAsia" w:eastAsiaTheme="minorEastAsia" w:hAnsiTheme="minorEastAsia" w:cs="宋体"/>
          <w:kern w:val="0"/>
          <w:sz w:val="28"/>
          <w:szCs w:val="28"/>
        </w:rPr>
        <w:t>中标后不允许分包</w:t>
      </w:r>
      <w:r>
        <w:rPr>
          <w:rFonts w:asciiTheme="minorEastAsia" w:eastAsiaTheme="minorEastAsia" w:hAnsiTheme="minorEastAsia" w:cs="宋体" w:hint="eastAsia"/>
          <w:kern w:val="0"/>
          <w:sz w:val="28"/>
          <w:szCs w:val="28"/>
        </w:rPr>
        <w:t>。</w:t>
      </w:r>
    </w:p>
    <w:p w:rsidR="00DE18AE" w:rsidRDefault="00135135">
      <w:pPr>
        <w:pStyle w:val="1"/>
        <w:spacing w:beforeLines="50" w:before="156" w:after="0"/>
        <w:rPr>
          <w:rStyle w:val="NEW"/>
          <w:szCs w:val="22"/>
        </w:rPr>
      </w:pPr>
      <w:r>
        <w:rPr>
          <w:rStyle w:val="NEW"/>
          <w:rFonts w:hint="eastAsia"/>
          <w:szCs w:val="22"/>
        </w:rPr>
        <w:t>三、采购需求</w:t>
      </w:r>
    </w:p>
    <w:p w:rsidR="00DE18AE" w:rsidRDefault="00135135">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3.1</w:t>
      </w:r>
      <w:r>
        <w:rPr>
          <w:rFonts w:asciiTheme="majorEastAsia" w:eastAsiaTheme="majorEastAsia" w:hAnsiTheme="majorEastAsia" w:cstheme="majorEastAsia" w:hint="eastAsia"/>
          <w:sz w:val="28"/>
          <w:szCs w:val="28"/>
        </w:rPr>
        <w:t>项目概况</w:t>
      </w:r>
    </w:p>
    <w:p w:rsidR="00DE18AE" w:rsidRDefault="00135135">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宜昌市中心人民医院网络安全等级保护测评项目要求：参照《信息安全技术</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网络安全等级保护基本要求》</w:t>
      </w:r>
      <w:r>
        <w:rPr>
          <w:rFonts w:asciiTheme="minorEastAsia" w:eastAsiaTheme="minorEastAsia" w:hAnsiTheme="minorEastAsia" w:hint="eastAsia"/>
          <w:sz w:val="28"/>
          <w:szCs w:val="28"/>
        </w:rPr>
        <w:t xml:space="preserve">GB/T </w:t>
      </w:r>
      <w:r>
        <w:rPr>
          <w:rFonts w:asciiTheme="minorEastAsia" w:eastAsiaTheme="minorEastAsia" w:hAnsiTheme="minorEastAsia" w:hint="eastAsia"/>
          <w:sz w:val="28"/>
          <w:szCs w:val="28"/>
        </w:rPr>
        <w:t>22239-2019</w:t>
      </w:r>
      <w:r>
        <w:rPr>
          <w:rFonts w:asciiTheme="minorEastAsia" w:eastAsiaTheme="minorEastAsia" w:hAnsiTheme="minorEastAsia" w:hint="eastAsia"/>
          <w:sz w:val="28"/>
          <w:szCs w:val="28"/>
        </w:rPr>
        <w:t>标准对宜昌市中心人民医院指定的信息系统进行测评，对被测的信息系统提出建设整改建议和系统整改方案，协助其所有被测系统整改达到等级保护相应级别的标准和要求；整改完成后，开展二次测评，出具宜昌市中心人民医院《网络安全等级测评报告》；并对现有被测评的系统进行梳理，协助到宜昌市公安局办理系统年度备案手续，使系统能够取得公安机关颁发的《信息安全等级保护备案证明》及年度复测证明。</w:t>
      </w:r>
      <w:r>
        <w:rPr>
          <w:rFonts w:asciiTheme="minorEastAsia" w:eastAsiaTheme="minorEastAsia" w:hAnsiTheme="minorEastAsia" w:hint="eastAsia"/>
          <w:color w:val="FF0000"/>
          <w:sz w:val="28"/>
          <w:szCs w:val="28"/>
        </w:rPr>
        <w:t>并在测评完成后按</w:t>
      </w:r>
      <w:r>
        <w:rPr>
          <w:rFonts w:asciiTheme="minorEastAsia" w:eastAsiaTheme="minorEastAsia" w:hAnsiTheme="minorEastAsia" w:hint="eastAsia"/>
          <w:color w:val="FF0000"/>
          <w:sz w:val="28"/>
          <w:szCs w:val="28"/>
        </w:rPr>
        <w:t>照</w:t>
      </w:r>
      <w:r>
        <w:rPr>
          <w:rFonts w:asciiTheme="minorEastAsia" w:eastAsiaTheme="minorEastAsia" w:hAnsiTheme="minorEastAsia" w:hint="eastAsia"/>
          <w:color w:val="FF0000"/>
          <w:sz w:val="28"/>
          <w:szCs w:val="28"/>
        </w:rPr>
        <w:t>要求提供网络安全的相关培训</w:t>
      </w:r>
      <w:r>
        <w:rPr>
          <w:rFonts w:asciiTheme="minorEastAsia" w:eastAsiaTheme="minorEastAsia" w:hAnsiTheme="minorEastAsia" w:hint="eastAsia"/>
          <w:color w:val="FF0000"/>
          <w:sz w:val="28"/>
          <w:szCs w:val="28"/>
        </w:rPr>
        <w:t>，培训内容至少包含《网络安全法》和《个人隐私保护及弱口令》</w:t>
      </w:r>
      <w:r>
        <w:rPr>
          <w:rFonts w:asciiTheme="minorEastAsia" w:eastAsiaTheme="minorEastAsia" w:hAnsiTheme="minorEastAsia" w:hint="eastAsia"/>
          <w:color w:val="FF0000"/>
          <w:sz w:val="28"/>
          <w:szCs w:val="28"/>
        </w:rPr>
        <w:t>。</w:t>
      </w:r>
    </w:p>
    <w:p w:rsidR="00DE18AE" w:rsidRDefault="00135135">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3.2</w:t>
      </w:r>
      <w:r>
        <w:rPr>
          <w:rFonts w:asciiTheme="majorEastAsia" w:eastAsiaTheme="majorEastAsia" w:hAnsiTheme="majorEastAsia" w:cstheme="majorEastAsia" w:hint="eastAsia"/>
          <w:sz w:val="28"/>
          <w:szCs w:val="28"/>
        </w:rPr>
        <w:t>项目清单、技</w:t>
      </w:r>
      <w:r>
        <w:rPr>
          <w:rFonts w:asciiTheme="majorEastAsia" w:eastAsiaTheme="majorEastAsia" w:hAnsiTheme="majorEastAsia" w:cstheme="majorEastAsia" w:hint="eastAsia"/>
          <w:sz w:val="28"/>
          <w:szCs w:val="28"/>
        </w:rPr>
        <w:t>术、服务要求</w:t>
      </w:r>
    </w:p>
    <w:p w:rsidR="00DE18AE" w:rsidRDefault="00135135">
      <w:pPr>
        <w:pStyle w:val="3"/>
        <w:numPr>
          <w:ilvl w:val="0"/>
          <w:numId w:val="1"/>
        </w:numPr>
        <w:spacing w:beforeLines="50" w:before="156" w:afterLines="50" w:after="156"/>
        <w:jc w:val="left"/>
      </w:pPr>
      <w:r>
        <w:rPr>
          <w:rFonts w:hint="eastAsia"/>
          <w:sz w:val="28"/>
          <w:szCs w:val="22"/>
        </w:rPr>
        <w:t>货物、服务需求一览表</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500"/>
        <w:gridCol w:w="6408"/>
      </w:tblGrid>
      <w:tr w:rsidR="00DE18AE">
        <w:trPr>
          <w:trHeight w:val="525"/>
          <w:tblHeader/>
          <w:jc w:val="center"/>
        </w:trPr>
        <w:tc>
          <w:tcPr>
            <w:tcW w:w="809" w:type="dxa"/>
            <w:shd w:val="clear" w:color="auto" w:fill="F2F2F2"/>
            <w:vAlign w:val="center"/>
          </w:tcPr>
          <w:p w:rsidR="00DE18AE" w:rsidRDefault="00135135">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序号</w:t>
            </w:r>
          </w:p>
        </w:tc>
        <w:tc>
          <w:tcPr>
            <w:tcW w:w="1500" w:type="dxa"/>
            <w:shd w:val="clear" w:color="auto" w:fill="F2F2F2"/>
            <w:vAlign w:val="center"/>
          </w:tcPr>
          <w:p w:rsidR="00DE18AE" w:rsidRDefault="00135135">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名称</w:t>
            </w:r>
          </w:p>
        </w:tc>
        <w:tc>
          <w:tcPr>
            <w:tcW w:w="6408" w:type="dxa"/>
            <w:shd w:val="clear" w:color="auto" w:fill="F2F2F2"/>
            <w:vAlign w:val="center"/>
          </w:tcPr>
          <w:p w:rsidR="00DE18AE" w:rsidRDefault="00135135">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达到目的</w:t>
            </w:r>
          </w:p>
        </w:tc>
      </w:tr>
      <w:tr w:rsidR="00DE18AE">
        <w:trPr>
          <w:trHeight w:val="1020"/>
          <w:jc w:val="center"/>
        </w:trPr>
        <w:tc>
          <w:tcPr>
            <w:tcW w:w="809"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1500"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备案服务</w:t>
            </w:r>
          </w:p>
        </w:tc>
        <w:tc>
          <w:tcPr>
            <w:tcW w:w="6408" w:type="dxa"/>
            <w:vAlign w:val="center"/>
          </w:tcPr>
          <w:p w:rsidR="00DE18AE" w:rsidRDefault="00135135">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对宜昌市中心人民医院指定的信息系统进行梳理，了解信息系统的基本情况，</w:t>
            </w:r>
            <w:r>
              <w:rPr>
                <w:rFonts w:asciiTheme="minorEastAsia" w:eastAsiaTheme="minorEastAsia" w:hAnsiTheme="minorEastAsia" w:cs="宋体" w:hint="eastAsia"/>
                <w:sz w:val="24"/>
                <w:szCs w:val="24"/>
              </w:rPr>
              <w:t>准备相关</w:t>
            </w:r>
            <w:r>
              <w:rPr>
                <w:rFonts w:asciiTheme="minorEastAsia" w:eastAsiaTheme="minorEastAsia" w:hAnsiTheme="minorEastAsia" w:cs="宋体" w:hint="eastAsia"/>
                <w:sz w:val="24"/>
                <w:szCs w:val="24"/>
              </w:rPr>
              <w:t>材料，协助采购方到宜昌市公安</w:t>
            </w:r>
            <w:r>
              <w:rPr>
                <w:rFonts w:asciiTheme="minorEastAsia" w:eastAsiaTheme="minorEastAsia" w:hAnsiTheme="minorEastAsia" w:cs="宋体" w:hint="eastAsia"/>
                <w:sz w:val="24"/>
                <w:szCs w:val="24"/>
              </w:rPr>
              <w:lastRenderedPageBreak/>
              <w:t>局办理信息系统的</w:t>
            </w:r>
            <w:r>
              <w:rPr>
                <w:rFonts w:asciiTheme="minorEastAsia" w:eastAsiaTheme="minorEastAsia" w:hAnsiTheme="minorEastAsia" w:cs="宋体" w:hint="eastAsia"/>
                <w:sz w:val="24"/>
                <w:szCs w:val="24"/>
              </w:rPr>
              <w:t>年度测评</w:t>
            </w:r>
            <w:r>
              <w:rPr>
                <w:rFonts w:asciiTheme="minorEastAsia" w:eastAsiaTheme="minorEastAsia" w:hAnsiTheme="minorEastAsia" w:cs="宋体" w:hint="eastAsia"/>
                <w:sz w:val="24"/>
                <w:szCs w:val="24"/>
              </w:rPr>
              <w:t>备案。</w:t>
            </w:r>
          </w:p>
        </w:tc>
      </w:tr>
      <w:tr w:rsidR="00DE18AE">
        <w:trPr>
          <w:trHeight w:val="734"/>
          <w:jc w:val="center"/>
        </w:trPr>
        <w:tc>
          <w:tcPr>
            <w:tcW w:w="809"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w:t>
            </w:r>
          </w:p>
        </w:tc>
        <w:tc>
          <w:tcPr>
            <w:tcW w:w="1500"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测评报告</w:t>
            </w:r>
          </w:p>
        </w:tc>
        <w:tc>
          <w:tcPr>
            <w:tcW w:w="6408" w:type="dxa"/>
            <w:vAlign w:val="center"/>
          </w:tcPr>
          <w:p w:rsidR="00DE18AE" w:rsidRDefault="00135135">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依据《网络安全等级保护测评报告模版（</w:t>
            </w:r>
            <w:r>
              <w:rPr>
                <w:rFonts w:asciiTheme="minorEastAsia" w:eastAsiaTheme="minorEastAsia" w:hAnsiTheme="minorEastAsia" w:cs="宋体" w:hint="eastAsia"/>
                <w:sz w:val="24"/>
                <w:szCs w:val="24"/>
              </w:rPr>
              <w:t>2019</w:t>
            </w:r>
            <w:r>
              <w:rPr>
                <w:rFonts w:asciiTheme="minorEastAsia" w:eastAsiaTheme="minorEastAsia" w:hAnsiTheme="minorEastAsia" w:cs="宋体" w:hint="eastAsia"/>
                <w:sz w:val="24"/>
                <w:szCs w:val="24"/>
              </w:rPr>
              <w:t>年版）》，出具符合要求的《网络安全等级保护测评报告》提交给采购方。</w:t>
            </w:r>
          </w:p>
        </w:tc>
      </w:tr>
      <w:tr w:rsidR="00DE18AE">
        <w:trPr>
          <w:trHeight w:val="1587"/>
          <w:jc w:val="center"/>
        </w:trPr>
        <w:tc>
          <w:tcPr>
            <w:tcW w:w="809"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1500"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编制信息安全管理制度</w:t>
            </w:r>
          </w:p>
        </w:tc>
        <w:tc>
          <w:tcPr>
            <w:tcW w:w="6408" w:type="dxa"/>
            <w:vAlign w:val="center"/>
          </w:tcPr>
          <w:p w:rsidR="00DE18AE" w:rsidRDefault="00135135">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对现有的管理制度进行梳理，依据</w:t>
            </w:r>
            <w:r>
              <w:rPr>
                <w:rFonts w:asciiTheme="minorEastAsia" w:eastAsiaTheme="minorEastAsia" w:hAnsiTheme="minorEastAsia" w:cs="宋体" w:hint="eastAsia"/>
                <w:sz w:val="24"/>
                <w:szCs w:val="24"/>
              </w:rPr>
              <w:t>GB/T 22080-20</w:t>
            </w:r>
            <w:r>
              <w:rPr>
                <w:rFonts w:asciiTheme="minorEastAsia" w:eastAsiaTheme="minorEastAsia" w:hAnsiTheme="minorEastAsia" w:cs="宋体"/>
                <w:sz w:val="24"/>
                <w:szCs w:val="24"/>
              </w:rPr>
              <w:t>16</w:t>
            </w:r>
            <w:r>
              <w:rPr>
                <w:rFonts w:asciiTheme="minorEastAsia" w:eastAsiaTheme="minorEastAsia" w:hAnsiTheme="minorEastAsia" w:cs="宋体" w:hint="eastAsia"/>
                <w:sz w:val="24"/>
                <w:szCs w:val="24"/>
              </w:rPr>
              <w:t>《信息安全技术</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信息安全管理体系要求》，由高级工程师协助实施，完善现有的管理制度体系，具体内容包括：总体安全规划、机房安全、安全管理规范、组织架构、岗位设置、人员管理、应急响应和演练、安全培训、信息安全策略等管理制度体系的建设。</w:t>
            </w:r>
          </w:p>
        </w:tc>
      </w:tr>
      <w:tr w:rsidR="00DE18AE">
        <w:trPr>
          <w:trHeight w:val="2564"/>
          <w:jc w:val="center"/>
        </w:trPr>
        <w:tc>
          <w:tcPr>
            <w:tcW w:w="809"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1500"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安全建设整改方案</w:t>
            </w:r>
          </w:p>
        </w:tc>
        <w:tc>
          <w:tcPr>
            <w:tcW w:w="6408" w:type="dxa"/>
            <w:vAlign w:val="center"/>
          </w:tcPr>
          <w:p w:rsidR="00DE18AE" w:rsidRDefault="00135135">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w:t>
            </w:r>
            <w:r>
              <w:rPr>
                <w:rFonts w:asciiTheme="minorEastAsia" w:eastAsiaTheme="minorEastAsia" w:hAnsiTheme="minorEastAsia" w:cs="宋体" w:hint="eastAsia"/>
                <w:sz w:val="24"/>
                <w:szCs w:val="24"/>
              </w:rPr>
              <w:t xml:space="preserve">GB/T 22239-2019 </w:t>
            </w:r>
            <w:r>
              <w:rPr>
                <w:rFonts w:asciiTheme="minorEastAsia" w:eastAsiaTheme="minorEastAsia" w:hAnsiTheme="minorEastAsia" w:cs="宋体" w:hint="eastAsia"/>
                <w:sz w:val="24"/>
                <w:szCs w:val="24"/>
              </w:rPr>
              <w:t>信息安全技术</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网络安全等级保护基本要求》、《</w:t>
            </w:r>
            <w:r>
              <w:rPr>
                <w:rFonts w:asciiTheme="minorEastAsia" w:eastAsiaTheme="minorEastAsia" w:hAnsiTheme="minorEastAsia" w:cs="宋体" w:hint="eastAsia"/>
                <w:sz w:val="24"/>
                <w:szCs w:val="24"/>
              </w:rPr>
              <w:t>GB/T 22080-2</w:t>
            </w:r>
            <w:r>
              <w:rPr>
                <w:rFonts w:asciiTheme="minorEastAsia" w:eastAsiaTheme="minorEastAsia" w:hAnsiTheme="minorEastAsia" w:cs="宋体"/>
                <w:sz w:val="24"/>
                <w:szCs w:val="24"/>
              </w:rPr>
              <w:t>016</w:t>
            </w:r>
            <w:r>
              <w:rPr>
                <w:rFonts w:asciiTheme="minorEastAsia" w:eastAsiaTheme="minorEastAsia" w:hAnsiTheme="minorEastAsia" w:cs="宋体" w:hint="eastAsia"/>
                <w:sz w:val="24"/>
                <w:szCs w:val="24"/>
              </w:rPr>
              <w:t>信息技术</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安全技术</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信息安全管理体系要求》、《</w:t>
            </w:r>
            <w:r>
              <w:rPr>
                <w:rFonts w:asciiTheme="minorEastAsia" w:eastAsiaTheme="minorEastAsia" w:hAnsiTheme="minorEastAsia" w:cs="宋体" w:hint="eastAsia"/>
                <w:sz w:val="24"/>
                <w:szCs w:val="24"/>
              </w:rPr>
              <w:t>GB/T 22081-20</w:t>
            </w:r>
            <w:r>
              <w:rPr>
                <w:rFonts w:asciiTheme="minorEastAsia" w:eastAsiaTheme="minorEastAsia" w:hAnsiTheme="minorEastAsia" w:cs="宋体"/>
                <w:sz w:val="24"/>
                <w:szCs w:val="24"/>
              </w:rPr>
              <w:t>16</w:t>
            </w:r>
            <w:r>
              <w:rPr>
                <w:rFonts w:asciiTheme="minorEastAsia" w:eastAsiaTheme="minorEastAsia" w:hAnsiTheme="minorEastAsia" w:cs="宋体" w:hint="eastAsia"/>
                <w:sz w:val="24"/>
                <w:szCs w:val="24"/>
              </w:rPr>
              <w:t>信息技术</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安全技术</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信息安全管理实用规则》等标准规范的第三级要求，对被测评系统提出整体</w:t>
            </w:r>
            <w:r>
              <w:rPr>
                <w:rFonts w:asciiTheme="minorEastAsia" w:eastAsiaTheme="minorEastAsia" w:hAnsiTheme="minorEastAsia" w:cs="宋体" w:hint="eastAsia"/>
                <w:sz w:val="24"/>
                <w:szCs w:val="24"/>
              </w:rPr>
              <w:t>的安全建设整改方案，</w:t>
            </w:r>
            <w:r>
              <w:rPr>
                <w:rFonts w:asciiTheme="minorEastAsia" w:eastAsiaTheme="minorEastAsia" w:hAnsiTheme="minorEastAsia" w:cs="宋体" w:hint="eastAsia"/>
                <w:sz w:val="24"/>
                <w:szCs w:val="24"/>
              </w:rPr>
              <w:t>由</w:t>
            </w:r>
            <w:r>
              <w:rPr>
                <w:rFonts w:asciiTheme="minorEastAsia" w:eastAsiaTheme="minorEastAsia" w:hAnsiTheme="minorEastAsia" w:cs="宋体" w:hint="eastAsia"/>
                <w:sz w:val="24"/>
                <w:szCs w:val="24"/>
              </w:rPr>
              <w:t>软件测试高级</w:t>
            </w:r>
            <w:r>
              <w:rPr>
                <w:rFonts w:asciiTheme="minorEastAsia" w:eastAsiaTheme="minorEastAsia" w:hAnsiTheme="minorEastAsia" w:cs="宋体" w:hint="eastAsia"/>
                <w:sz w:val="24"/>
                <w:szCs w:val="24"/>
              </w:rPr>
              <w:t>工程师</w:t>
            </w:r>
            <w:r>
              <w:rPr>
                <w:rFonts w:asciiTheme="minorEastAsia" w:eastAsiaTheme="minorEastAsia" w:hAnsiTheme="minorEastAsia" w:cs="宋体" w:hint="eastAsia"/>
                <w:sz w:val="24"/>
                <w:szCs w:val="24"/>
              </w:rPr>
              <w:t>协助采购方进行安全整改，确保</w:t>
            </w:r>
            <w:r>
              <w:rPr>
                <w:rFonts w:asciiTheme="minorEastAsia" w:eastAsiaTheme="minorEastAsia" w:hAnsiTheme="minorEastAsia" w:cs="宋体"/>
                <w:sz w:val="24"/>
                <w:szCs w:val="24"/>
              </w:rPr>
              <w:t>使用</w:t>
            </w:r>
            <w:r>
              <w:rPr>
                <w:rFonts w:asciiTheme="minorEastAsia" w:eastAsiaTheme="minorEastAsia" w:hAnsiTheme="minorEastAsia" w:cs="宋体" w:hint="eastAsia"/>
                <w:sz w:val="24"/>
                <w:szCs w:val="24"/>
              </w:rPr>
              <w:t>的网</w:t>
            </w:r>
            <w:r>
              <w:rPr>
                <w:rFonts w:asciiTheme="minorEastAsia" w:eastAsiaTheme="minorEastAsia" w:hAnsiTheme="minorEastAsia" w:cs="宋体"/>
                <w:sz w:val="24"/>
                <w:szCs w:val="24"/>
              </w:rPr>
              <w:t>络</w:t>
            </w:r>
            <w:r>
              <w:rPr>
                <w:rFonts w:asciiTheme="minorEastAsia" w:eastAsiaTheme="minorEastAsia" w:hAnsiTheme="minorEastAsia" w:cs="宋体" w:hint="eastAsia"/>
                <w:sz w:val="24"/>
                <w:szCs w:val="24"/>
              </w:rPr>
              <w:t>、边界</w:t>
            </w:r>
            <w:r>
              <w:rPr>
                <w:rFonts w:asciiTheme="minorEastAsia" w:eastAsiaTheme="minorEastAsia" w:hAnsiTheme="minorEastAsia" w:cs="宋体"/>
                <w:sz w:val="24"/>
                <w:szCs w:val="24"/>
              </w:rPr>
              <w:t>安全</w:t>
            </w:r>
            <w:r>
              <w:rPr>
                <w:rFonts w:asciiTheme="minorEastAsia" w:eastAsiaTheme="minorEastAsia" w:hAnsiTheme="minorEastAsia" w:cs="宋体" w:hint="eastAsia"/>
                <w:sz w:val="24"/>
                <w:szCs w:val="24"/>
              </w:rPr>
              <w:t>、主</w:t>
            </w:r>
            <w:r>
              <w:rPr>
                <w:rFonts w:asciiTheme="minorEastAsia" w:eastAsiaTheme="minorEastAsia" w:hAnsiTheme="minorEastAsia" w:cs="宋体"/>
                <w:sz w:val="24"/>
                <w:szCs w:val="24"/>
              </w:rPr>
              <w:t>机</w:t>
            </w:r>
            <w:r>
              <w:rPr>
                <w:rFonts w:asciiTheme="minorEastAsia" w:eastAsiaTheme="minorEastAsia" w:hAnsiTheme="minorEastAsia" w:cs="宋体" w:hint="eastAsia"/>
                <w:sz w:val="24"/>
                <w:szCs w:val="24"/>
              </w:rPr>
              <w:t>应用</w:t>
            </w:r>
            <w:r>
              <w:rPr>
                <w:rFonts w:asciiTheme="minorEastAsia" w:eastAsiaTheme="minorEastAsia" w:hAnsiTheme="minorEastAsia" w:cs="宋体"/>
                <w:sz w:val="24"/>
                <w:szCs w:val="24"/>
              </w:rPr>
              <w:t>和数据库等</w:t>
            </w:r>
            <w:r>
              <w:rPr>
                <w:rFonts w:asciiTheme="minorEastAsia" w:eastAsiaTheme="minorEastAsia" w:hAnsiTheme="minorEastAsia" w:cs="宋体" w:hint="eastAsia"/>
                <w:sz w:val="24"/>
                <w:szCs w:val="24"/>
              </w:rPr>
              <w:t>相关安全</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能够满足等级保护标准基本要求，使被测系统达</w:t>
            </w:r>
            <w:r>
              <w:rPr>
                <w:rFonts w:asciiTheme="minorEastAsia" w:eastAsiaTheme="minorEastAsia" w:hAnsiTheme="minorEastAsia" w:cs="宋体"/>
                <w:sz w:val="24"/>
                <w:szCs w:val="24"/>
              </w:rPr>
              <w:t>到</w:t>
            </w:r>
            <w:r>
              <w:rPr>
                <w:rFonts w:asciiTheme="minorEastAsia" w:eastAsiaTheme="minorEastAsia" w:hAnsiTheme="minorEastAsia" w:cs="宋体" w:hint="eastAsia"/>
                <w:sz w:val="24"/>
                <w:szCs w:val="24"/>
              </w:rPr>
              <w:t>相应级别的安全防护能力。</w:t>
            </w:r>
          </w:p>
        </w:tc>
      </w:tr>
      <w:tr w:rsidR="00DE18AE">
        <w:trPr>
          <w:trHeight w:val="1052"/>
          <w:jc w:val="center"/>
        </w:trPr>
        <w:tc>
          <w:tcPr>
            <w:tcW w:w="809"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p>
        </w:tc>
        <w:tc>
          <w:tcPr>
            <w:tcW w:w="1500" w:type="dxa"/>
            <w:vAlign w:val="center"/>
          </w:tcPr>
          <w:p w:rsidR="00DE18AE" w:rsidRDefault="00135135">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网络安全培训</w:t>
            </w:r>
          </w:p>
        </w:tc>
        <w:tc>
          <w:tcPr>
            <w:tcW w:w="6408" w:type="dxa"/>
            <w:vAlign w:val="center"/>
          </w:tcPr>
          <w:p w:rsidR="00DE18AE" w:rsidRDefault="00135135">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测评完成后按要求提供包含</w:t>
            </w:r>
            <w:r>
              <w:rPr>
                <w:rFonts w:asciiTheme="minorEastAsia" w:eastAsiaTheme="minorEastAsia" w:hAnsiTheme="minorEastAsia" w:cs="宋体" w:hint="eastAsia"/>
                <w:sz w:val="24"/>
                <w:szCs w:val="24"/>
              </w:rPr>
              <w:t>《网络安全法》和《个人隐私保护及弱口令》</w:t>
            </w:r>
            <w:r>
              <w:rPr>
                <w:rFonts w:asciiTheme="minorEastAsia" w:eastAsiaTheme="minorEastAsia" w:hAnsiTheme="minorEastAsia" w:cs="宋体" w:hint="eastAsia"/>
                <w:sz w:val="24"/>
                <w:szCs w:val="24"/>
              </w:rPr>
              <w:t>的相关培训材料</w:t>
            </w:r>
            <w:r>
              <w:rPr>
                <w:rFonts w:asciiTheme="minorEastAsia" w:eastAsiaTheme="minorEastAsia" w:hAnsiTheme="minorEastAsia" w:cs="宋体" w:hint="eastAsia"/>
                <w:sz w:val="24"/>
                <w:szCs w:val="24"/>
              </w:rPr>
              <w:t>。</w:t>
            </w:r>
          </w:p>
        </w:tc>
      </w:tr>
    </w:tbl>
    <w:p w:rsidR="00DE18AE" w:rsidRDefault="00135135">
      <w:pPr>
        <w:pStyle w:val="3"/>
        <w:spacing w:beforeLines="100" w:before="312" w:afterLines="0"/>
        <w:jc w:val="left"/>
        <w:rPr>
          <w:rFonts w:asciiTheme="minorEastAsia" w:eastAsiaTheme="minorEastAsia" w:hAnsiTheme="minorEastAsia"/>
          <w:sz w:val="28"/>
          <w:szCs w:val="22"/>
        </w:rPr>
      </w:pPr>
      <w:r>
        <w:rPr>
          <w:rFonts w:asciiTheme="minorEastAsia" w:eastAsiaTheme="minorEastAsia" w:hAnsiTheme="minorEastAsia" w:hint="eastAsia"/>
          <w:sz w:val="32"/>
          <w:szCs w:val="32"/>
        </w:rPr>
        <w:t>（二）</w:t>
      </w:r>
      <w:r>
        <w:rPr>
          <w:rFonts w:asciiTheme="minorEastAsia" w:eastAsiaTheme="minorEastAsia" w:hAnsiTheme="minorEastAsia" w:hint="eastAsia"/>
          <w:sz w:val="28"/>
          <w:szCs w:val="22"/>
        </w:rPr>
        <w:t>参数要求：</w:t>
      </w:r>
    </w:p>
    <w:p w:rsidR="00DE18AE" w:rsidRDefault="00135135">
      <w:pPr>
        <w:pStyle w:val="41"/>
        <w:rPr>
          <w:b/>
          <w:bCs/>
          <w:iCs/>
          <w:sz w:val="28"/>
          <w:szCs w:val="28"/>
          <w:lang w:eastAsia="zh-CN"/>
        </w:rPr>
      </w:pPr>
      <w:r>
        <w:rPr>
          <w:rFonts w:hint="eastAsia"/>
          <w:b/>
          <w:bCs/>
          <w:sz w:val="28"/>
          <w:szCs w:val="28"/>
          <w:lang w:eastAsia="zh-CN"/>
        </w:rPr>
        <w:t>1</w:t>
      </w:r>
      <w:r>
        <w:rPr>
          <w:rFonts w:hint="eastAsia"/>
          <w:b/>
          <w:bCs/>
          <w:sz w:val="28"/>
          <w:szCs w:val="28"/>
          <w:lang w:eastAsia="zh-CN"/>
        </w:rPr>
        <w:t>、安全物理环境</w:t>
      </w:r>
    </w:p>
    <w:p w:rsidR="00DE18AE" w:rsidRDefault="00135135">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测评对象主要为主机房，涉及工作单元</w:t>
      </w:r>
      <w:r>
        <w:rPr>
          <w:rFonts w:ascii="宋体" w:hAnsi="宋体" w:cs="仿宋" w:hint="eastAsia"/>
          <w:sz w:val="24"/>
          <w:szCs w:val="24"/>
        </w:rPr>
        <w:t>10</w:t>
      </w:r>
      <w:r>
        <w:rPr>
          <w:rFonts w:ascii="宋体" w:hAnsi="宋体" w:cs="仿宋" w:hint="eastAsia"/>
          <w:sz w:val="24"/>
          <w:szCs w:val="24"/>
        </w:rPr>
        <w:t>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sz w:val="24"/>
                <w:szCs w:val="24"/>
              </w:rPr>
            </w:pPr>
            <w:r>
              <w:rPr>
                <w:rFonts w:ascii="宋体" w:hAnsi="宋体" w:cs="仿宋" w:hint="eastAsia"/>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sz w:val="24"/>
                <w:szCs w:val="24"/>
              </w:rPr>
            </w:pPr>
            <w:r>
              <w:rPr>
                <w:rFonts w:ascii="宋体" w:hAnsi="宋体" w:cs="仿宋" w:hint="eastAsia"/>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物理位置选择</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Chars="200" w:firstLine="480"/>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）机房场地应选择在具有防震、防风和防雨等能力的建筑内。</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机房场地应避免设在建筑物的顶层或地下室，否则应加强防水和防潮措施。</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物理访问控制</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机房出入口应配置电子门禁系统，控制、鉴别和记录进入的人员。</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防盗窃和防破</w:t>
            </w:r>
            <w:r>
              <w:rPr>
                <w:rFonts w:ascii="宋体" w:hAnsi="宋体" w:cs="仿宋" w:hint="eastAsia"/>
                <w:sz w:val="24"/>
                <w:szCs w:val="24"/>
              </w:rPr>
              <w:lastRenderedPageBreak/>
              <w:t>坏</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lastRenderedPageBreak/>
              <w:t xml:space="preserve">a) </w:t>
            </w:r>
            <w:r>
              <w:rPr>
                <w:rFonts w:ascii="宋体" w:hAnsi="宋体" w:cs="仿宋" w:hint="eastAsia"/>
                <w:sz w:val="24"/>
                <w:szCs w:val="24"/>
              </w:rPr>
              <w:t>应将设备或主要部件进行固定，并设置明显的不易除去的标识。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）应将通信线缆铺设在隐蔽安全处。</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应设置机房防盗报警系统或设置有专人值守的视频监控系统。</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防雷击</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应将各类机柜、设施和设备等通过接地系统安全接地。</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应采取措施防止感应雷，例如设置防雷保安器或过压保护装置等。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防火</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机房应设置火灾自动消防系统，能够自动检测火情、自动报警，并自动灭火。</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机房及相关的工作房间和辅助房应采用具有耐火等级的建筑材料。</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应对机房划分区域进行管理，区域和区域之间设置隔离防火措施。</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防水和防潮</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应采取措施防止雨水通过机房窗户、屋顶和墙壁渗透。</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应采取措施防止机房内水蒸气结露和地下积水的转移与渗透。</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应安装对水敏感的检测仪表或元件，对机房进行防水检测和报警。</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防静电</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应采用防静电地板或地面并采用必要的接地防静电措施。</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应采取措施防止静电的产生，例如采用静电消除器、佩戴防静电手环等。</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温湿度控制</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应设置温、湿度自动调节设施，使机房温、湿度的变化在设备运行所允许的范围之内。</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电力供应</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应在机房供电线路上配置稳压器和过电压防护设备。</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应提供短期的备用电力供应，至少满足设备在断电情况下的正常运行要求。</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应设置冗余或并行的电力电缆线路为计算机系统供电。</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电磁防护</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电源线和通信线缆应隔离铺设，避免互相干扰。</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应对关键设备实施电磁屏蔽。</w:t>
            </w:r>
          </w:p>
        </w:tc>
      </w:tr>
    </w:tbl>
    <w:p w:rsidR="00DE18AE" w:rsidRDefault="00135135">
      <w:pPr>
        <w:pStyle w:val="41"/>
        <w:spacing w:before="240"/>
        <w:rPr>
          <w:b/>
          <w:bCs/>
          <w:sz w:val="28"/>
          <w:szCs w:val="28"/>
          <w:lang w:eastAsia="zh-CN"/>
        </w:rPr>
      </w:pPr>
      <w:r>
        <w:rPr>
          <w:rFonts w:hint="eastAsia"/>
          <w:b/>
          <w:bCs/>
          <w:sz w:val="28"/>
          <w:szCs w:val="28"/>
          <w:lang w:eastAsia="zh-CN"/>
        </w:rPr>
        <w:t>2</w:t>
      </w:r>
      <w:r>
        <w:rPr>
          <w:rFonts w:hint="eastAsia"/>
          <w:b/>
          <w:bCs/>
          <w:sz w:val="28"/>
          <w:szCs w:val="28"/>
          <w:lang w:eastAsia="zh-CN"/>
        </w:rPr>
        <w:t>、安全通信网络</w:t>
      </w:r>
    </w:p>
    <w:p w:rsidR="00DE18AE" w:rsidRDefault="00135135">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w:t>
      </w:r>
      <w:r>
        <w:rPr>
          <w:rFonts w:ascii="宋体" w:hAnsi="宋体" w:cs="仿宋" w:hint="eastAsia"/>
          <w:sz w:val="24"/>
          <w:szCs w:val="24"/>
        </w:rPr>
        <w:t>3</w:t>
      </w:r>
      <w:r>
        <w:rPr>
          <w:rFonts w:ascii="宋体" w:hAnsi="宋体" w:cs="仿宋" w:hint="eastAsia"/>
          <w:sz w:val="24"/>
          <w:szCs w:val="24"/>
        </w:rPr>
        <w:t>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360" w:lineRule="auto"/>
              <w:jc w:val="center"/>
              <w:textAlignment w:val="bottom"/>
              <w:rPr>
                <w:rFonts w:ascii="宋体" w:hAnsi="宋体" w:cs="仿宋"/>
                <w:sz w:val="24"/>
                <w:szCs w:val="24"/>
              </w:rPr>
            </w:pPr>
            <w:r>
              <w:rPr>
                <w:rFonts w:ascii="宋体" w:hAnsi="宋体" w:cs="仿宋" w:hint="eastAsia"/>
                <w:sz w:val="24"/>
                <w:szCs w:val="24"/>
              </w:rPr>
              <w:lastRenderedPageBreak/>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360" w:lineRule="auto"/>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360" w:lineRule="auto"/>
              <w:jc w:val="center"/>
              <w:textAlignment w:val="bottom"/>
              <w:rPr>
                <w:rFonts w:ascii="宋体" w:hAnsi="宋体" w:cs="仿宋"/>
                <w:sz w:val="24"/>
                <w:szCs w:val="24"/>
              </w:rPr>
            </w:pPr>
            <w:r>
              <w:rPr>
                <w:rFonts w:ascii="宋体" w:hAnsi="宋体" w:cs="仿宋" w:hint="eastAsia"/>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135135">
            <w:pPr>
              <w:spacing w:line="360" w:lineRule="auto"/>
              <w:jc w:val="center"/>
              <w:textAlignment w:val="bottom"/>
              <w:rPr>
                <w:rFonts w:ascii="宋体" w:hAnsi="宋体" w:cs="仿宋"/>
                <w:sz w:val="24"/>
                <w:szCs w:val="24"/>
              </w:rPr>
            </w:pPr>
            <w:r>
              <w:rPr>
                <w:rFonts w:ascii="宋体" w:hAnsi="宋体" w:cs="仿宋" w:hint="eastAsia"/>
                <w:sz w:val="24"/>
                <w:szCs w:val="24"/>
              </w:rPr>
              <w:t>1</w:t>
            </w: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网络架构</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应保证网络设备的业务处理能力满足业务高峰期需要。</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应保证网络各个部分的带宽满足业务高峰期需要。</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应划分不同的网络区域，并按照方便管理和控制的原则为各网络区域分配地址。</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d) </w:t>
            </w:r>
            <w:r>
              <w:rPr>
                <w:rFonts w:ascii="宋体" w:hAnsi="宋体" w:cs="仿宋" w:hint="eastAsia"/>
                <w:sz w:val="24"/>
                <w:szCs w:val="24"/>
              </w:rPr>
              <w:t>应避免将重要网络区域部署在边界处，重要网络区域与其他网络区域之间应采取可</w:t>
            </w:r>
            <w:r>
              <w:rPr>
                <w:rFonts w:ascii="宋体" w:hAnsi="宋体" w:cs="仿宋" w:hint="eastAsia"/>
                <w:sz w:val="24"/>
                <w:szCs w:val="24"/>
              </w:rPr>
              <w:t xml:space="preserve"> </w:t>
            </w:r>
            <w:r>
              <w:rPr>
                <w:rFonts w:ascii="宋体" w:hAnsi="宋体" w:cs="仿宋" w:hint="eastAsia"/>
                <w:sz w:val="24"/>
                <w:szCs w:val="24"/>
              </w:rPr>
              <w:t>靠的技术隔离手段。</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e)</w:t>
            </w:r>
            <w:r>
              <w:rPr>
                <w:rFonts w:ascii="宋体" w:hAnsi="宋体" w:cs="仿宋" w:hint="eastAsia"/>
                <w:sz w:val="24"/>
                <w:szCs w:val="24"/>
              </w:rPr>
              <w:t>应提供通信线路板、关键网络设备和关键计算设备的硬件冗余，保证系统的可用性。</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135135">
            <w:pPr>
              <w:spacing w:line="360" w:lineRule="auto"/>
              <w:jc w:val="center"/>
              <w:textAlignment w:val="bottom"/>
              <w:rPr>
                <w:rFonts w:ascii="宋体" w:hAnsi="宋体" w:cs="仿宋"/>
                <w:sz w:val="24"/>
                <w:szCs w:val="24"/>
              </w:rPr>
            </w:pPr>
            <w:r>
              <w:rPr>
                <w:rFonts w:ascii="宋体" w:hAnsi="宋体" w:cs="仿宋" w:hint="eastAsia"/>
                <w:sz w:val="24"/>
                <w:szCs w:val="24"/>
              </w:rPr>
              <w:t>2</w:t>
            </w:r>
          </w:p>
        </w:tc>
        <w:tc>
          <w:tcPr>
            <w:tcW w:w="1701" w:type="dxa"/>
            <w:vMerge w:val="restart"/>
            <w:tcBorders>
              <w:top w:val="nil"/>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通信传输</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应采用校验技术或密码技术保证通信过程中数据的完整性</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应采用密码技术保证通信过程中数据的保密性</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360" w:lineRule="auto"/>
              <w:jc w:val="center"/>
              <w:textAlignment w:val="bottom"/>
              <w:rPr>
                <w:rFonts w:ascii="宋体" w:hAnsi="宋体" w:cs="仿宋"/>
                <w:sz w:val="24"/>
                <w:szCs w:val="24"/>
              </w:rPr>
            </w:pPr>
            <w:r>
              <w:rPr>
                <w:rFonts w:ascii="宋体" w:hAnsi="宋体" w:cs="仿宋" w:hint="eastAsia"/>
                <w:sz w:val="24"/>
                <w:szCs w:val="24"/>
              </w:rPr>
              <w:t>3</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360" w:lineRule="auto"/>
              <w:textAlignment w:val="bottom"/>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可基于可信根对通信设备的系统引导程序、系统程序、重要配置参数和通信应用程序等进行可信验证，并在应用程序的关键执行环节进行动态可信验证，在检测到其可信性受到</w:t>
            </w:r>
            <w:r>
              <w:rPr>
                <w:rFonts w:ascii="宋体" w:hAnsi="宋体" w:cs="仿宋" w:hint="eastAsia"/>
                <w:sz w:val="24"/>
                <w:szCs w:val="24"/>
              </w:rPr>
              <w:t xml:space="preserve"> </w:t>
            </w:r>
            <w:r>
              <w:rPr>
                <w:rFonts w:ascii="宋体" w:hAnsi="宋体" w:cs="仿宋" w:hint="eastAsia"/>
                <w:sz w:val="24"/>
                <w:szCs w:val="24"/>
              </w:rPr>
              <w:t>破坏后进行报警，并将验证结果形成审计记录送至安全管理中心。</w:t>
            </w:r>
          </w:p>
        </w:tc>
      </w:tr>
    </w:tbl>
    <w:p w:rsidR="00DE18AE" w:rsidRDefault="00135135">
      <w:pPr>
        <w:pStyle w:val="41"/>
        <w:spacing w:before="240"/>
        <w:rPr>
          <w:b/>
          <w:bCs/>
          <w:sz w:val="28"/>
          <w:szCs w:val="28"/>
          <w:lang w:eastAsia="zh-CN"/>
        </w:rPr>
      </w:pPr>
      <w:r>
        <w:rPr>
          <w:rFonts w:hint="eastAsia"/>
          <w:b/>
          <w:bCs/>
          <w:sz w:val="28"/>
          <w:szCs w:val="28"/>
          <w:lang w:eastAsia="zh-CN"/>
        </w:rPr>
        <w:t>3</w:t>
      </w:r>
      <w:r>
        <w:rPr>
          <w:rFonts w:hint="eastAsia"/>
          <w:b/>
          <w:bCs/>
          <w:sz w:val="28"/>
          <w:szCs w:val="28"/>
          <w:lang w:eastAsia="zh-CN"/>
        </w:rPr>
        <w:t>、安全区域边界</w:t>
      </w:r>
    </w:p>
    <w:p w:rsidR="00DE18AE" w:rsidRDefault="00135135">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测评对象主要为：网闸、防火墙、路由器、交换机和无线接入网关设备、抗</w:t>
      </w:r>
      <w:r>
        <w:rPr>
          <w:rFonts w:ascii="宋体" w:hAnsi="宋体" w:cs="仿宋" w:hint="eastAsia"/>
          <w:sz w:val="24"/>
          <w:szCs w:val="24"/>
        </w:rPr>
        <w:t>ATP</w:t>
      </w:r>
      <w:r>
        <w:rPr>
          <w:rFonts w:ascii="宋体" w:hAnsi="宋体" w:cs="仿宋" w:hint="eastAsia"/>
          <w:sz w:val="24"/>
          <w:szCs w:val="24"/>
        </w:rPr>
        <w:t>攻击系统、网络回溯系统、抗</w:t>
      </w:r>
      <w:r>
        <w:rPr>
          <w:rFonts w:ascii="宋体" w:hAnsi="宋体" w:cs="仿宋" w:hint="eastAsia"/>
          <w:sz w:val="24"/>
          <w:szCs w:val="24"/>
        </w:rPr>
        <w:t>DDOS</w:t>
      </w:r>
      <w:r>
        <w:rPr>
          <w:rFonts w:ascii="宋体" w:hAnsi="宋体" w:cs="仿宋" w:hint="eastAsia"/>
          <w:sz w:val="24"/>
          <w:szCs w:val="24"/>
        </w:rPr>
        <w:t>攻击系统、入侵保护系统、入侵检测系统、防病毒网关和</w:t>
      </w:r>
      <w:r>
        <w:rPr>
          <w:rFonts w:ascii="宋体" w:hAnsi="宋体" w:cs="仿宋" w:hint="eastAsia"/>
          <w:sz w:val="24"/>
          <w:szCs w:val="24"/>
        </w:rPr>
        <w:t>UTM</w:t>
      </w:r>
      <w:r>
        <w:rPr>
          <w:rFonts w:ascii="宋体" w:hAnsi="宋体" w:cs="仿宋" w:hint="eastAsia"/>
          <w:sz w:val="24"/>
          <w:szCs w:val="24"/>
        </w:rPr>
        <w:t>、综合安全审计系统、提供可信验证的设备或组件、提供集中审计功能的系统。涉及工作单元</w:t>
      </w:r>
      <w:r>
        <w:rPr>
          <w:rFonts w:ascii="宋体" w:hAnsi="宋体" w:cs="仿宋" w:hint="eastAsia"/>
          <w:sz w:val="24"/>
          <w:szCs w:val="24"/>
        </w:rPr>
        <w:t>6</w:t>
      </w:r>
      <w:r>
        <w:rPr>
          <w:rFonts w:ascii="宋体" w:hAnsi="宋体" w:cs="仿宋" w:hint="eastAsia"/>
          <w:sz w:val="24"/>
          <w:szCs w:val="24"/>
        </w:rPr>
        <w:t>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边界防护</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应保证跨越边界的访问和数据流通过边界设备提供的受控接口进行通信。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应能够对非授权设备私自联到内部网络的行为进行检查或限制。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应能够对内部用户非授权联到外部网络的行为进行检查或限制。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d) </w:t>
            </w:r>
            <w:r>
              <w:rPr>
                <w:rFonts w:ascii="宋体" w:hAnsi="宋体" w:cs="仿宋" w:hint="eastAsia"/>
                <w:sz w:val="24"/>
                <w:szCs w:val="24"/>
              </w:rPr>
              <w:t>应限制无线网络的使用，保证无线网络通过受控的边界设备接入内部网络。</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应在网络边界或区域之间根据访问控制策略设置访问控制规则，默认情况下除允许通信外受控接口拒绝所有通信。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应删除多余或无效的访问控制规则，优化访问控制</w:t>
            </w:r>
            <w:r>
              <w:rPr>
                <w:rFonts w:ascii="宋体" w:hAnsi="宋体" w:cs="仿宋" w:hint="eastAsia"/>
                <w:sz w:val="24"/>
                <w:szCs w:val="24"/>
              </w:rPr>
              <w:lastRenderedPageBreak/>
              <w:t>列表，并保证访问控制规则数量最小化。</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应对源地址、目的地址、源端口、目的端口和协议等进行检查，以允许／拒绝数据包进出。</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d) </w:t>
            </w:r>
            <w:r>
              <w:rPr>
                <w:rFonts w:ascii="宋体" w:hAnsi="宋体" w:cs="仿宋" w:hint="eastAsia"/>
                <w:sz w:val="24"/>
                <w:szCs w:val="24"/>
              </w:rPr>
              <w:t>应能根据会话状态信息为进出数据流提供明确的允许／拒绝访问的能力。</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e) </w:t>
            </w:r>
            <w:r>
              <w:rPr>
                <w:rFonts w:ascii="宋体" w:hAnsi="宋体" w:cs="仿宋" w:hint="eastAsia"/>
                <w:sz w:val="24"/>
                <w:szCs w:val="24"/>
              </w:rPr>
              <w:t>应对进出网络的数据流实现基于应用协议和应用内容的访问控制。</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）应在关键网络节点处检测、防止或限制从外部发起的网络攻击行为。</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）应在关键网络节点处检测、防止或限制从内部发起的网络攻击行为。</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）应采取技术措施对网络行为进行分析，实现对网络攻击特别是新型网络攻击行为的分析。</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）当检测到攻击行为时，记录攻击源</w:t>
            </w:r>
            <w:r>
              <w:rPr>
                <w:rFonts w:ascii="宋体" w:hAnsi="宋体" w:cs="仿宋" w:hint="eastAsia"/>
                <w:sz w:val="24"/>
                <w:szCs w:val="24"/>
              </w:rPr>
              <w:t xml:space="preserve"> IP</w:t>
            </w:r>
            <w:r>
              <w:rPr>
                <w:rFonts w:ascii="宋体" w:hAnsi="宋体" w:cs="仿宋" w:hint="eastAsia"/>
                <w:sz w:val="24"/>
                <w:szCs w:val="24"/>
              </w:rPr>
              <w:t>、攻击类型、攻击目标、攻击时间，在发生严重</w:t>
            </w:r>
            <w:r>
              <w:rPr>
                <w:rFonts w:ascii="宋体" w:hAnsi="宋体" w:cs="仿宋" w:hint="eastAsia"/>
                <w:sz w:val="24"/>
                <w:szCs w:val="24"/>
              </w:rPr>
              <w:t xml:space="preserve"> </w:t>
            </w:r>
            <w:r>
              <w:rPr>
                <w:rFonts w:ascii="宋体" w:hAnsi="宋体" w:cs="仿宋" w:hint="eastAsia"/>
                <w:sz w:val="24"/>
                <w:szCs w:val="24"/>
              </w:rPr>
              <w:t>入侵事件时应提供报警。</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恶意代码和垃圾邮件防范</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）应在关键网络节点处对恶意代码进行检测和清除，并维护恶意代码防护机制的升级</w:t>
            </w:r>
            <w:r>
              <w:rPr>
                <w:rFonts w:ascii="宋体" w:hAnsi="宋体" w:cs="仿宋" w:hint="eastAsia"/>
                <w:sz w:val="24"/>
                <w:szCs w:val="24"/>
              </w:rPr>
              <w:t xml:space="preserve"> </w:t>
            </w:r>
            <w:r>
              <w:rPr>
                <w:rFonts w:ascii="宋体" w:hAnsi="宋体" w:cs="仿宋" w:hint="eastAsia"/>
                <w:sz w:val="24"/>
                <w:szCs w:val="24"/>
              </w:rPr>
              <w:t>和更新。</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）应在关键网络节点处对垃圾邮件进行检测和防护，并维护垃圾邮件防护机制的升级</w:t>
            </w:r>
            <w:r>
              <w:rPr>
                <w:rFonts w:ascii="宋体" w:hAnsi="宋体" w:cs="仿宋" w:hint="eastAsia"/>
                <w:sz w:val="24"/>
                <w:szCs w:val="24"/>
              </w:rPr>
              <w:t xml:space="preserve"> </w:t>
            </w:r>
            <w:r>
              <w:rPr>
                <w:rFonts w:ascii="宋体" w:hAnsi="宋体" w:cs="仿宋" w:hint="eastAsia"/>
                <w:sz w:val="24"/>
                <w:szCs w:val="24"/>
              </w:rPr>
              <w:t>和更新。</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）应在网络边界、重要网络节点进行安全审计，审计覆盖到每个用户，对重要的用户行</w:t>
            </w:r>
            <w:r>
              <w:rPr>
                <w:rFonts w:ascii="宋体" w:hAnsi="宋体" w:cs="仿宋" w:hint="eastAsia"/>
                <w:sz w:val="24"/>
                <w:szCs w:val="24"/>
              </w:rPr>
              <w:t xml:space="preserve"> </w:t>
            </w:r>
            <w:r>
              <w:rPr>
                <w:rFonts w:ascii="宋体" w:hAnsi="宋体" w:cs="仿宋" w:hint="eastAsia"/>
                <w:sz w:val="24"/>
                <w:szCs w:val="24"/>
              </w:rPr>
              <w:t>为和重要安全事件进行审计。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）审计记录应包括事件的日期和时间、用户、事件类型、事件是否成功及其他与审计相关的信息。</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）应对审计记录进行保护，定期备份，避免受到未预期的删除、修改或覆盖等。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）应能对远程访问的用户行为、访问物联网的用户行为等单独进行行为审计和数据分析</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DE18AE">
            <w:pPr>
              <w:numPr>
                <w:ilvl w:val="0"/>
                <w:numId w:val="3"/>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可信验证</w:t>
            </w:r>
            <w:r>
              <w:rPr>
                <w:rFonts w:ascii="宋体" w:hAnsi="宋体" w:cs="仿宋" w:hint="eastAsia"/>
                <w:sz w:val="24"/>
                <w:szCs w:val="24"/>
              </w:rPr>
              <w:t xml:space="preserve"> </w:t>
            </w:r>
            <w:r>
              <w:rPr>
                <w:rFonts w:ascii="宋体" w:hAnsi="宋体" w:cs="仿宋" w:hint="eastAsia"/>
                <w:sz w:val="24"/>
                <w:szCs w:val="24"/>
              </w:rPr>
              <w:t>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w:t>
            </w:r>
            <w:r>
              <w:rPr>
                <w:rFonts w:ascii="宋体" w:hAnsi="宋体" w:cs="仿宋" w:hint="eastAsia"/>
                <w:sz w:val="24"/>
                <w:szCs w:val="24"/>
              </w:rPr>
              <w:t xml:space="preserve"> </w:t>
            </w:r>
          </w:p>
        </w:tc>
      </w:tr>
    </w:tbl>
    <w:p w:rsidR="00DE18AE" w:rsidRDefault="00135135">
      <w:pPr>
        <w:pStyle w:val="41"/>
        <w:spacing w:before="240"/>
        <w:rPr>
          <w:b/>
          <w:bCs/>
          <w:sz w:val="28"/>
          <w:szCs w:val="28"/>
          <w:lang w:eastAsia="zh-CN"/>
        </w:rPr>
      </w:pPr>
      <w:r>
        <w:rPr>
          <w:rFonts w:hint="eastAsia"/>
          <w:b/>
          <w:bCs/>
          <w:sz w:val="28"/>
          <w:szCs w:val="28"/>
          <w:lang w:eastAsia="zh-CN"/>
        </w:rPr>
        <w:t>4</w:t>
      </w:r>
      <w:r>
        <w:rPr>
          <w:rFonts w:hint="eastAsia"/>
          <w:b/>
          <w:bCs/>
          <w:sz w:val="28"/>
          <w:szCs w:val="28"/>
          <w:lang w:eastAsia="zh-CN"/>
        </w:rPr>
        <w:t>、安全计算环境</w:t>
      </w:r>
    </w:p>
    <w:p w:rsidR="00DE18AE" w:rsidRDefault="00135135">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测评对象主要为：应用系统、操作系统、数据库、中间件、终端等。涉及工作单元</w:t>
      </w:r>
      <w:r>
        <w:rPr>
          <w:rFonts w:ascii="宋体" w:hAnsi="宋体" w:cs="仿宋" w:hint="eastAsia"/>
          <w:sz w:val="24"/>
          <w:szCs w:val="24"/>
        </w:rPr>
        <w:t>11</w:t>
      </w:r>
      <w:r>
        <w:rPr>
          <w:rFonts w:ascii="宋体" w:hAnsi="宋体" w:cs="仿宋" w:hint="eastAsia"/>
          <w:sz w:val="24"/>
          <w:szCs w:val="24"/>
        </w:rPr>
        <w:t>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身份鉴别</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应对登录的用户进行身份标识和鉴别，身份标识具</w:t>
            </w:r>
            <w:r>
              <w:rPr>
                <w:rFonts w:ascii="宋体" w:hAnsi="宋体" w:cs="仿宋" w:hint="eastAsia"/>
                <w:sz w:val="24"/>
                <w:szCs w:val="24"/>
              </w:rPr>
              <w:lastRenderedPageBreak/>
              <w:t>有唯一性，身份鉴别信息具有复杂度要求并定期更换。</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应具有登录失败处理功能，应配置并启用结束会话、限制非法登录次数和当登录连接超时自动退出等相关措施。</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当进行远程管理时，应采取必要措施防止鉴别信息在网络传输过程中被窃听。</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应采用口令、密码技术、生物技术等两种或两种以上组合术来实现。</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应对登陆的用户分配账户和权限</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应重命名或删除默认账户，修改默认账户的默认口令。</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应及时删除或停用多余的、过期的账户，避免共享账户的存在。</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应授予管理用户所需的最小权限，实现管理用户的权限分离。</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e)</w:t>
            </w:r>
            <w:r>
              <w:rPr>
                <w:rFonts w:ascii="宋体" w:hAnsi="宋体" w:cs="仿宋" w:hint="eastAsia"/>
                <w:sz w:val="24"/>
                <w:szCs w:val="24"/>
              </w:rPr>
              <w:t>应由授权主体配置访问控制策略，访问控制策略规定主体对客体的访问规则</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f)</w:t>
            </w:r>
            <w:r>
              <w:rPr>
                <w:rFonts w:ascii="宋体" w:hAnsi="宋体" w:cs="仿宋" w:hint="eastAsia"/>
                <w:sz w:val="24"/>
                <w:szCs w:val="24"/>
              </w:rPr>
              <w:t>访问控制的粒度应达到主体为用户级或进程级，客体为文件、数据库表级。</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g)</w:t>
            </w:r>
            <w:r>
              <w:rPr>
                <w:rFonts w:ascii="宋体" w:hAnsi="宋体" w:cs="仿宋" w:hint="eastAsia"/>
                <w:sz w:val="24"/>
                <w:szCs w:val="24"/>
              </w:rPr>
              <w:t>应对重要主体和客体设置安全标记，并控制主体对有安全标记信息资源的访问。</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应启用安全审计功能，审计覆盖到每个用户，对重要的用户行为和重要安全事件进行审计。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审计记录应包括事件的日期和时间、用户、事件类型、事件是否成功及其他与审计相关的信息。</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应对设计记录进行保护，定期备份，避免受到未预期的删除、修改或覆盖等；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应对审计进程进行保护，防止未经授权的中断</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应遵循最小安装的原则，仅安装需要的组件和应用程序。</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应关闭不需要的系统服务、默认共享和高危端口。</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应通过设定终端接入方式或网络地址范围对通过网络进行管理的管理终端进行限制。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应提供数据有效性检验功能，保证通过人机接口输入或通过通信接口输入的内容符合系统设定要求。</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e)</w:t>
            </w:r>
            <w:r>
              <w:rPr>
                <w:rFonts w:ascii="宋体" w:hAnsi="宋体" w:cs="仿宋" w:hint="eastAsia"/>
                <w:sz w:val="24"/>
                <w:szCs w:val="24"/>
              </w:rPr>
              <w:t>应能发现可能存在的已知漏洞，并在经过充分测试评估后，及时修补漏洞。</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f)</w:t>
            </w:r>
            <w:r>
              <w:rPr>
                <w:rFonts w:ascii="宋体" w:hAnsi="宋体" w:cs="仿宋" w:hint="eastAsia"/>
                <w:sz w:val="24"/>
                <w:szCs w:val="24"/>
              </w:rPr>
              <w:t>应能够检测到对重要节点进行入侵的行为，并在发生严重入侵事件时提供报警。</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恶意代码防范</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应采用免受恶意代码攻击的技术措施或主动免疫可信验证机制及时识别入侵和病毒行为，并将其有效阻断</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可基于可信根对计算设备的系统引导程序、系统程序、重要配置参数和应用程序等</w:t>
            </w:r>
            <w:r>
              <w:rPr>
                <w:rFonts w:ascii="宋体" w:hAnsi="宋体" w:cs="仿宋" w:hint="eastAsia"/>
                <w:sz w:val="24"/>
                <w:szCs w:val="24"/>
              </w:rPr>
              <w:t xml:space="preserve"> </w:t>
            </w:r>
            <w:r>
              <w:rPr>
                <w:rFonts w:ascii="宋体" w:hAnsi="宋体" w:cs="仿宋" w:hint="eastAsia"/>
                <w:sz w:val="24"/>
                <w:szCs w:val="24"/>
              </w:rPr>
              <w:t>进行可信验证，并在检</w:t>
            </w:r>
            <w:r>
              <w:rPr>
                <w:rFonts w:ascii="宋体" w:hAnsi="宋体" w:cs="仿宋" w:hint="eastAsia"/>
                <w:sz w:val="24"/>
                <w:szCs w:val="24"/>
              </w:rPr>
              <w:lastRenderedPageBreak/>
              <w:t>测到其可信性受到破坏后进行报警，并将验证结果形成审计记录送至安</w:t>
            </w:r>
            <w:r>
              <w:rPr>
                <w:rFonts w:ascii="宋体" w:hAnsi="宋体" w:cs="仿宋" w:hint="eastAsia"/>
                <w:sz w:val="24"/>
                <w:szCs w:val="24"/>
              </w:rPr>
              <w:t xml:space="preserve"> </w:t>
            </w:r>
            <w:r>
              <w:rPr>
                <w:rFonts w:ascii="宋体" w:hAnsi="宋体" w:cs="仿宋" w:hint="eastAsia"/>
                <w:sz w:val="24"/>
                <w:szCs w:val="24"/>
              </w:rPr>
              <w:t>全管理中心。</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数据完整性</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应采用校验技术或密码技术保证重要数据在传输过程中的完整性，包括但不限于鉴别数据、重要业务数据、重要审计数据、重要配置数据、重要视频数据和重要个人信息等。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应采用校验技术或密码技术保证重要数据在存储过程中的完整性，包括但不限于鉴别数据、重要业务数据、重要审计数据、重要配置数据、重要视频数据和重要个人信息等。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数据保密性</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应采用密码技术保证重要数据在传输过程中的保密性，包括但不限千鉴别数据、重要业务数据和重要个人信息等。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应采用密码技术保证重要数据在存储过程中的保密性，包括但不限于鉴别数据、重要业务数据和重要个人信息等。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数据备份和恢复</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应提供重要数据的本地数据备份与恢复功能。</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应提供异地数据备份功能，利用通信网络将重要数据定时批量传送至备用场地。</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剩余信息保护</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应保证鉴别信息所在的存储空间被释放或重新分配前得到完全清除。</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应保证存有敏感数据的存储空间被释放或重新分配前得到完全清除。</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个人信息保护</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应仅采集和保存业务必需的用户个人信息。</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应禁止未授权访问和非法使用用户个人信息。</w:t>
            </w:r>
          </w:p>
        </w:tc>
      </w:tr>
    </w:tbl>
    <w:p w:rsidR="00DE18AE" w:rsidRDefault="00135135">
      <w:pPr>
        <w:pStyle w:val="41"/>
        <w:spacing w:before="240"/>
        <w:rPr>
          <w:b/>
          <w:bCs/>
          <w:sz w:val="28"/>
          <w:szCs w:val="28"/>
          <w:lang w:eastAsia="zh-CN"/>
        </w:rPr>
      </w:pPr>
      <w:r>
        <w:rPr>
          <w:rFonts w:hint="eastAsia"/>
          <w:b/>
          <w:bCs/>
          <w:sz w:val="28"/>
          <w:szCs w:val="28"/>
          <w:lang w:eastAsia="zh-CN"/>
        </w:rPr>
        <w:t>5</w:t>
      </w:r>
      <w:r>
        <w:rPr>
          <w:rFonts w:hint="eastAsia"/>
          <w:b/>
          <w:bCs/>
          <w:sz w:val="28"/>
          <w:szCs w:val="28"/>
          <w:lang w:eastAsia="zh-CN"/>
        </w:rPr>
        <w:t>、安全管理中心</w:t>
      </w:r>
    </w:p>
    <w:p w:rsidR="00DE18AE" w:rsidRDefault="00135135">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测评对象主要为：提供集中系统管理功能的系统、数据库审计系统、综合安全审计系统。涉及工作单元</w:t>
      </w:r>
      <w:r>
        <w:rPr>
          <w:rFonts w:ascii="宋体" w:hAnsi="宋体" w:cs="仿宋" w:hint="eastAsia"/>
          <w:sz w:val="24"/>
          <w:szCs w:val="24"/>
        </w:rPr>
        <w:t>4</w:t>
      </w:r>
      <w:r>
        <w:rPr>
          <w:rFonts w:ascii="宋体" w:hAnsi="宋体" w:cs="仿宋" w:hint="eastAsia"/>
          <w:sz w:val="24"/>
          <w:szCs w:val="24"/>
        </w:rPr>
        <w:t>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系统管理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应对系统管理员进行身份鉴别，只允许其通过特定的命令或操作界面进行系统管理操作，并对这些操作进行审计。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应通过系统管理员对系统的资源和运行进行配置、控制和管理，包括用户身份、资源配置、系统加载和启动、系统运行的异常处理、数据和设备的备份与恢复等。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审计管理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应对审计管理员进行身份鉴别，只允许其通过特定的命令或操作界面进行安全审计操作，并对这些操作进行审计。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应通过审计管理员对审计记录进行分析，并根据</w:t>
            </w:r>
            <w:r>
              <w:rPr>
                <w:rFonts w:ascii="宋体" w:hAnsi="宋体" w:cs="仿宋" w:hint="eastAsia"/>
                <w:sz w:val="24"/>
                <w:szCs w:val="24"/>
              </w:rPr>
              <w:lastRenderedPageBreak/>
              <w:t>分析结果进行处理，包括根据安全审计策略对审计记录进行存储、管理和查询等。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应对安全管理员进行身份鉴别，只允许其通过特定的命令或操作界面进行安全管理操作，并对这些操作进行审计。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应通过安全管理员对系统中的安全策略进行配置，包括安全参数的设置，主体、客体进行统一安全标记，对主体进行授权，配置可信验证策略等。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集中管控</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应划分出特定的管理区域，对分布在网络中的安全设备或安全组件进行管控。</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应能够建立一条安全的信息传输路径，对网络中的安全设备或安全组件进行管理。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应对网络链路、安全设备、网络设备和服务器等的运行状况进行集中监测。</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d) </w:t>
            </w:r>
            <w:r>
              <w:rPr>
                <w:rFonts w:ascii="宋体" w:hAnsi="宋体" w:cs="仿宋" w:hint="eastAsia"/>
                <w:sz w:val="24"/>
                <w:szCs w:val="24"/>
              </w:rPr>
              <w:t>应对分散在各个设备上的审计数据进行收集汇总和集中分析，并保证审计记录的留存时间符合法律法规要求。</w:t>
            </w:r>
          </w:p>
        </w:tc>
      </w:tr>
      <w:tr w:rsidR="00DE18AE">
        <w:trPr>
          <w:trHeight w:val="90"/>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e) </w:t>
            </w:r>
            <w:r>
              <w:rPr>
                <w:rFonts w:ascii="宋体" w:hAnsi="宋体" w:cs="仿宋" w:hint="eastAsia"/>
                <w:sz w:val="24"/>
                <w:szCs w:val="24"/>
              </w:rPr>
              <w:t>应对安全策略，恶意代码，补了升级等安全相关事项进行集中管理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f) </w:t>
            </w:r>
            <w:r>
              <w:rPr>
                <w:rFonts w:ascii="宋体" w:hAnsi="宋体" w:cs="仿宋" w:hint="eastAsia"/>
                <w:sz w:val="24"/>
                <w:szCs w:val="24"/>
              </w:rPr>
              <w:t>应能对网络中发生的各类安全事件进行识别、报警和分析。</w:t>
            </w:r>
          </w:p>
        </w:tc>
      </w:tr>
    </w:tbl>
    <w:p w:rsidR="00DE18AE" w:rsidRDefault="00135135">
      <w:pPr>
        <w:pStyle w:val="41"/>
        <w:spacing w:before="240"/>
        <w:rPr>
          <w:b/>
          <w:bCs/>
          <w:sz w:val="28"/>
          <w:szCs w:val="28"/>
        </w:rPr>
      </w:pPr>
      <w:r>
        <w:rPr>
          <w:rFonts w:hint="eastAsia"/>
          <w:b/>
          <w:bCs/>
          <w:sz w:val="28"/>
          <w:szCs w:val="28"/>
        </w:rPr>
        <w:t>6</w:t>
      </w:r>
      <w:r>
        <w:rPr>
          <w:rFonts w:hint="eastAsia"/>
          <w:b/>
          <w:bCs/>
          <w:sz w:val="28"/>
          <w:szCs w:val="28"/>
          <w:lang w:eastAsia="zh-CN"/>
        </w:rPr>
        <w:t>、</w:t>
      </w:r>
      <w:r>
        <w:rPr>
          <w:rFonts w:hint="eastAsia"/>
          <w:b/>
          <w:bCs/>
          <w:sz w:val="28"/>
          <w:szCs w:val="28"/>
        </w:rPr>
        <w:t>安全管理制度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DE18AE">
            <w:pPr>
              <w:numPr>
                <w:ilvl w:val="0"/>
                <w:numId w:val="6"/>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安全策略</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应制定网络安全工作的总体方针和安全策略，阐明机构安全工作的总体目标、范围、原则和安全框架等。</w:t>
            </w:r>
            <w:r>
              <w:rPr>
                <w:rFonts w:ascii="宋体" w:hAnsi="宋体" w:cs="仿宋" w:hint="eastAsia"/>
                <w:sz w:val="24"/>
                <w:szCs w:val="24"/>
              </w:rPr>
              <w:t xml:space="preserve"> </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管理制度</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应对安全管理活动中的主要管理内容建立安全管理制度</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应对管理人员或操作人员执行的日常管理操作建立操作规程。</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）应形成由安全策略、管理制度、操作规程、记录表单等构成的全面的安全管理制度体系。</w:t>
            </w:r>
            <w:r>
              <w:rPr>
                <w:rFonts w:ascii="宋体" w:hAnsi="宋体" w:cs="仿宋" w:hint="eastAsia"/>
                <w:sz w:val="24"/>
                <w:szCs w:val="24"/>
              </w:rPr>
              <w:t xml:space="preserve"> </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制定和发布</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应指定或授权专门的部门或人员负责安全管理制度的制定。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）安全管理制度应通过正式、有效的方式发布，并进行版本控制。</w:t>
            </w:r>
          </w:p>
        </w:tc>
      </w:tr>
    </w:tbl>
    <w:p w:rsidR="00DE18AE" w:rsidRDefault="00135135">
      <w:pPr>
        <w:pStyle w:val="41"/>
        <w:spacing w:beforeLines="35" w:before="109"/>
        <w:rPr>
          <w:b/>
          <w:bCs/>
          <w:sz w:val="28"/>
          <w:szCs w:val="28"/>
        </w:rPr>
      </w:pPr>
      <w:r>
        <w:rPr>
          <w:rFonts w:hint="eastAsia"/>
          <w:b/>
          <w:bCs/>
          <w:sz w:val="28"/>
          <w:szCs w:val="28"/>
        </w:rPr>
        <w:t>7</w:t>
      </w:r>
      <w:r>
        <w:rPr>
          <w:rFonts w:hint="eastAsia"/>
          <w:b/>
          <w:bCs/>
          <w:sz w:val="28"/>
          <w:szCs w:val="28"/>
          <w:lang w:eastAsia="zh-CN"/>
        </w:rPr>
        <w:t>、</w:t>
      </w:r>
      <w:r>
        <w:rPr>
          <w:rFonts w:hint="eastAsia"/>
          <w:b/>
          <w:bCs/>
          <w:sz w:val="28"/>
          <w:szCs w:val="28"/>
        </w:rPr>
        <w:t>安全管理机构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岗位设置</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应成立指导和网络安全工作的委员会或领导小组，其最高领导由单位主管领导担任或授权。</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应设立网络安全管理工作的职能部门，设立安全主管、安全管理各个方面的负责人岗位，并定义各负责人的职责。</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应设立系统管理员、审计管理员和安全管理员等岗位，并定义部门及各个工作岗位的职责。</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人员配备</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应配备一定数量的系统管理员、审计管理员和安全管理员等。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应配备专职安全管理员，不可兼任。</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授权和审批</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应根据各个部门和岗位的职责明确授权审批事项、审批部门和批准人等。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应针对系统变更、重要操作、物理访问和系统接入等事项建立审批程序，按照审批程序执行审批过程，对重要活动建立逐级审批制度。</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应定期审查审批事项，及时更新需授权和审批的项目、审批部门和审批人等信息。</w:t>
            </w:r>
            <w:r>
              <w:rPr>
                <w:rFonts w:ascii="宋体" w:hAnsi="宋体" w:cs="仿宋" w:hint="eastAsia"/>
                <w:sz w:val="24"/>
                <w:szCs w:val="24"/>
              </w:rPr>
              <w:t xml:space="preserve"> </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沟通和合作</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应加强各类管理人员、组织内部机构和网络安全管理部门之间的合作与沟通，定期召开协调会议，共同协作处理网络安全问题。</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应加强与网络安全职能部门、各类供应商、业界专家及安全组织的合作与沟通。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应建立外联单位联系列表，包括外联单位名称、合作内容、联系人和联系方式等信息。</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审核和检查</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应定期进行常规安全检查，检查内容包括系统日常运行、系统漏洞和数据备份等情况。</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应定期进行全面安全检查，检查内容包括现有安全技术措施的有效性、安全配置与安全策略的一致性、安全管理制度的执行情况等。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应制定安全检查表格实施安全检查，汇总安全检查数据，形成安全检查报告，并对安全检查结果进行通报。</w:t>
            </w:r>
          </w:p>
        </w:tc>
      </w:tr>
    </w:tbl>
    <w:p w:rsidR="00DE18AE" w:rsidRDefault="00135135">
      <w:pPr>
        <w:pStyle w:val="41"/>
        <w:spacing w:before="156"/>
        <w:rPr>
          <w:b/>
          <w:bCs/>
          <w:sz w:val="28"/>
          <w:szCs w:val="28"/>
        </w:rPr>
      </w:pPr>
      <w:r>
        <w:rPr>
          <w:rFonts w:hint="eastAsia"/>
          <w:b/>
          <w:bCs/>
          <w:sz w:val="28"/>
          <w:szCs w:val="28"/>
        </w:rPr>
        <w:t>8</w:t>
      </w:r>
      <w:r>
        <w:rPr>
          <w:rFonts w:hint="eastAsia"/>
          <w:b/>
          <w:bCs/>
          <w:sz w:val="28"/>
          <w:szCs w:val="28"/>
          <w:lang w:eastAsia="zh-CN"/>
        </w:rPr>
        <w:t>、</w:t>
      </w:r>
      <w:r>
        <w:rPr>
          <w:rFonts w:hint="eastAsia"/>
          <w:b/>
          <w:bCs/>
          <w:sz w:val="28"/>
          <w:szCs w:val="28"/>
        </w:rPr>
        <w:t>安全管理人员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人员录用</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应指定或授权专门的部门或人员负责人员录用。</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应对被录用人员的身份、安全背景、专业资格或资质等进行审查，对其所具有的技术技能进行考核。</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应与被录用人员签署保密协议，与关键岗位人员签署岗位责任协议。</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人员离岗</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应及时终止离岗人员的所有访问权限，取回各种身份证件、钥匙、徽章等以及机构提</w:t>
            </w:r>
            <w:r>
              <w:rPr>
                <w:rFonts w:ascii="宋体" w:hAnsi="宋体" w:cs="仿宋" w:hint="eastAsia"/>
                <w:sz w:val="24"/>
                <w:szCs w:val="24"/>
              </w:rPr>
              <w:t xml:space="preserve"> </w:t>
            </w:r>
            <w:r>
              <w:rPr>
                <w:rFonts w:ascii="宋体" w:hAnsi="宋体" w:cs="仿宋" w:hint="eastAsia"/>
                <w:sz w:val="24"/>
                <w:szCs w:val="24"/>
              </w:rPr>
              <w:t>供的软硬件设备。</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应办理严格的调离手续，并承诺调离后的保密义务后方可离开。</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安全意识教育</w:t>
            </w:r>
            <w:r>
              <w:rPr>
                <w:rFonts w:ascii="宋体" w:hAnsi="宋体" w:cs="仿宋" w:hint="eastAsia"/>
                <w:sz w:val="24"/>
                <w:szCs w:val="24"/>
              </w:rPr>
              <w:lastRenderedPageBreak/>
              <w:t>和培训</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lastRenderedPageBreak/>
              <w:t>a)</w:t>
            </w:r>
            <w:r>
              <w:rPr>
                <w:rFonts w:ascii="宋体" w:hAnsi="宋体" w:cs="仿宋" w:hint="eastAsia"/>
                <w:sz w:val="24"/>
                <w:szCs w:val="24"/>
              </w:rPr>
              <w:t>应对各类人员进行安全意识教育和岗位技能培训，</w:t>
            </w:r>
            <w:r>
              <w:rPr>
                <w:rFonts w:ascii="宋体" w:hAnsi="宋体" w:cs="仿宋" w:hint="eastAsia"/>
                <w:sz w:val="24"/>
                <w:szCs w:val="24"/>
              </w:rPr>
              <w:lastRenderedPageBreak/>
              <w:t>并告知相关的安全责任和惩戒</w:t>
            </w:r>
            <w:r>
              <w:rPr>
                <w:rFonts w:ascii="宋体" w:hAnsi="宋体" w:cs="仿宋" w:hint="eastAsia"/>
                <w:sz w:val="24"/>
                <w:szCs w:val="24"/>
              </w:rPr>
              <w:t xml:space="preserve"> </w:t>
            </w:r>
            <w:r>
              <w:rPr>
                <w:rFonts w:ascii="宋体" w:hAnsi="宋体" w:cs="仿宋" w:hint="eastAsia"/>
                <w:sz w:val="24"/>
                <w:szCs w:val="24"/>
              </w:rPr>
              <w:t>措施。</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应针对不同岗位制定不同的培训计划，对安全基础知识、岗位操作规程等进行培训。</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应定期对不同岗位的人员进行技能考核</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应对安全教育和培训的情况和结果进行记录并归档保存。</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外部人员访问管理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应在外部人员物理访问受控区域前先提出书面申请，批准后由专人全程陪同，并登记备案。</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应在外部人员接入受控网络访问系统前先提出书面申请，批准后由专人开设账户、分配权限，并登记备案。</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）外部人员离场后应及时清除其所有的访问权限。</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）获得系统访问授权的外部人员应签署保密协议，不得进行非授权操作，不得复制和泄露任何敏感信息。</w:t>
            </w:r>
          </w:p>
        </w:tc>
      </w:tr>
    </w:tbl>
    <w:p w:rsidR="00DE18AE" w:rsidRDefault="00135135">
      <w:pPr>
        <w:pStyle w:val="41"/>
        <w:spacing w:before="240"/>
        <w:rPr>
          <w:b/>
          <w:bCs/>
          <w:sz w:val="28"/>
          <w:szCs w:val="28"/>
        </w:rPr>
      </w:pPr>
      <w:r>
        <w:rPr>
          <w:rFonts w:hint="eastAsia"/>
          <w:b/>
          <w:bCs/>
          <w:sz w:val="28"/>
          <w:szCs w:val="28"/>
        </w:rPr>
        <w:t>9</w:t>
      </w:r>
      <w:r>
        <w:rPr>
          <w:rFonts w:hint="eastAsia"/>
          <w:b/>
          <w:bCs/>
          <w:sz w:val="28"/>
          <w:szCs w:val="28"/>
          <w:lang w:eastAsia="zh-CN"/>
        </w:rPr>
        <w:t>、</w:t>
      </w:r>
      <w:r>
        <w:rPr>
          <w:rFonts w:hint="eastAsia"/>
          <w:b/>
          <w:bCs/>
          <w:sz w:val="28"/>
          <w:szCs w:val="28"/>
        </w:rPr>
        <w:t>安全建设管理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定级和备案</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应以书面的形式说明保护对象的安全保护等级及确定等级的方法和理由。</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应组织相关部门和有关安全技术专家对定级结果的合理性和正确性进行论证和审定。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应保证定级结果经过相关部门的批准。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d) </w:t>
            </w:r>
            <w:r>
              <w:rPr>
                <w:rFonts w:ascii="宋体" w:hAnsi="宋体" w:cs="仿宋" w:hint="eastAsia"/>
                <w:sz w:val="24"/>
                <w:szCs w:val="24"/>
              </w:rPr>
              <w:t>应将备案材料报主管部门和公安机关备案。</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安全方案设计</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应根据安全保护等级选择基本安全措施，依据风险分析的结果补充和调整安全措施。</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应根据保护对象的安全保护等级及与其他级别保护对象的关系进行安全整体规划和安全方案设计，设计内容应包含密码技术相关内容，并形成配套文件。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应组织相关部门和有关安全专家对安全整体规划及其配套文件的合理性和正确性进行论证和审定，经过批准后才能正式实施。</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产品采购和使用</w:t>
            </w: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应确保网络安全产品采购和使用符合国家的有关规定。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应确保密码产品与服务的采购和使用符合国家密码主管部门的要求。</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应预先对产品进行选型测试，确定产品的候选范围，并定期审定和更新候选产品名单。</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自行软件开发</w:t>
            </w: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应将开发环境与实际运行环境物理分开，测试数据和测试结果受到控制。</w:t>
            </w:r>
          </w:p>
        </w:tc>
      </w:tr>
      <w:tr w:rsidR="00DE18AE">
        <w:trPr>
          <w:trHeight w:val="669"/>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应制定软件开发管理制度，明确说明开发过程的控制方法和人员行为准则。</w:t>
            </w:r>
          </w:p>
        </w:tc>
      </w:tr>
      <w:tr w:rsidR="00DE18AE">
        <w:trPr>
          <w:trHeight w:val="437"/>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应制定代码编写安全规范，要求开发人员参照规范编写代码。</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d) </w:t>
            </w:r>
            <w:r>
              <w:rPr>
                <w:rFonts w:ascii="宋体" w:hAnsi="宋体" w:cs="仿宋" w:hint="eastAsia"/>
                <w:sz w:val="24"/>
                <w:szCs w:val="24"/>
              </w:rPr>
              <w:t>应具备软件设计的相关文档和使用指南，并对文档使用进行控制。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e) </w:t>
            </w:r>
            <w:r>
              <w:rPr>
                <w:rFonts w:ascii="宋体" w:hAnsi="宋体" w:cs="仿宋" w:hint="eastAsia"/>
                <w:sz w:val="24"/>
                <w:szCs w:val="24"/>
              </w:rPr>
              <w:t>应保证在软件开发过程中对安全性进行测试，在软件安装前对可能存在的恶意代码进行检测。</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f)</w:t>
            </w:r>
            <w:r>
              <w:rPr>
                <w:rFonts w:ascii="宋体" w:hAnsi="宋体" w:cs="仿宋" w:hint="eastAsia"/>
                <w:sz w:val="24"/>
                <w:szCs w:val="24"/>
              </w:rPr>
              <w:t>应对程序资源库的修改、更新、发布进行授权和批准，并严格进行版本控制。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g)</w:t>
            </w:r>
            <w:r>
              <w:rPr>
                <w:rFonts w:ascii="宋体" w:hAnsi="宋体" w:cs="仿宋" w:hint="eastAsia"/>
                <w:sz w:val="24"/>
                <w:szCs w:val="24"/>
              </w:rPr>
              <w:t>应保证开发人员为专职人员，开发人员的开发活动受到控制、监视和审查。</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外包软件开发</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应在软件交付前检测软件其中可能存在的恶意代码。</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应保证开发单位提供软件设计文档和使用指南。</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应保证开发单位提供软件源代码，并审查软件中可能存在的后门和隐蔽信道。</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工程实施</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应指定或授权专门的部门或人员负责工程实施过程的管理。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应制定安全工程实施方案控制工程实施过程。</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应通过第三方工程监理控制项目的实施过程。</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测试验收</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应制订测试验收方案，并依据测试验收方案实施测试验收，形成测试验收报告。</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应进行上线前的安全性测试，并出具安全测试报告，安全测试报告应包含密码应用</w:t>
            </w:r>
            <w:r>
              <w:rPr>
                <w:rFonts w:ascii="宋体" w:hAnsi="宋体" w:cs="仿宋" w:hint="eastAsia"/>
                <w:sz w:val="24"/>
                <w:szCs w:val="24"/>
              </w:rPr>
              <w:t xml:space="preserve"> </w:t>
            </w:r>
            <w:r>
              <w:rPr>
                <w:rFonts w:ascii="宋体" w:hAnsi="宋体" w:cs="仿宋" w:hint="eastAsia"/>
                <w:sz w:val="24"/>
                <w:szCs w:val="24"/>
              </w:rPr>
              <w:t>安全性测试相关内容。</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系统交付</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应制定交付清单，并根据交付清单对所交接的设备、软件和文档等进行清点。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应对负责运行维护的技术人员进行相应的技能培训。</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应提供建设过程文档和运行维护文档。</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等级测评</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应定期进行等级测评，发现不符合相应等级保护标准要求的及时整改。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应在发生重大变更或级别发生变化时进行等级测评。</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应确保测评机构的选择符合同家有关规定。</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服务供应商管理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应确保服务供应商的选择符合国家的有关规定。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应与选定的服务供应商签订相关协议，明确整个服务供应链各方需履行的网络安全相关义务。</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c) </w:t>
            </w:r>
            <w:r>
              <w:rPr>
                <w:rFonts w:ascii="宋体" w:hAnsi="宋体" w:cs="仿宋" w:hint="eastAsia"/>
                <w:sz w:val="24"/>
                <w:szCs w:val="24"/>
              </w:rPr>
              <w:t>应定期监督、评审和审核服务供应商提供的服务，并对其变更服务内容加以控制</w:t>
            </w:r>
          </w:p>
        </w:tc>
      </w:tr>
    </w:tbl>
    <w:p w:rsidR="00DE18AE" w:rsidRDefault="00135135">
      <w:pPr>
        <w:pStyle w:val="41"/>
        <w:spacing w:before="240"/>
        <w:rPr>
          <w:b/>
          <w:bCs/>
          <w:sz w:val="28"/>
          <w:szCs w:val="28"/>
        </w:rPr>
      </w:pPr>
      <w:r>
        <w:rPr>
          <w:rFonts w:hint="eastAsia"/>
          <w:b/>
          <w:bCs/>
          <w:sz w:val="28"/>
          <w:szCs w:val="28"/>
        </w:rPr>
        <w:t>10</w:t>
      </w:r>
      <w:r>
        <w:rPr>
          <w:rFonts w:hint="eastAsia"/>
          <w:b/>
          <w:bCs/>
          <w:sz w:val="28"/>
          <w:szCs w:val="28"/>
          <w:lang w:eastAsia="zh-CN"/>
        </w:rPr>
        <w:t>、</w:t>
      </w:r>
      <w:r>
        <w:rPr>
          <w:rFonts w:hint="eastAsia"/>
          <w:b/>
          <w:bCs/>
          <w:sz w:val="28"/>
          <w:szCs w:val="28"/>
        </w:rPr>
        <w:t>安全运维管理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DE18AE">
        <w:tc>
          <w:tcPr>
            <w:tcW w:w="817"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DE18AE" w:rsidRDefault="00135135">
            <w:pPr>
              <w:spacing w:line="560" w:lineRule="exact"/>
              <w:textAlignment w:val="bottom"/>
              <w:rPr>
                <w:rFonts w:ascii="宋体" w:hAnsi="宋体" w:cs="仿宋"/>
                <w:color w:val="000000"/>
                <w:sz w:val="24"/>
                <w:szCs w:val="24"/>
              </w:rPr>
            </w:pPr>
            <w:r>
              <w:rPr>
                <w:rFonts w:ascii="宋体" w:hAnsi="宋体" w:cs="仿宋" w:hint="eastAsia"/>
                <w:color w:val="000000"/>
                <w:sz w:val="24"/>
                <w:szCs w:val="24"/>
              </w:rPr>
              <w:t>工作单元名称</w:t>
            </w:r>
            <w:r>
              <w:rPr>
                <w:rFonts w:ascii="宋体" w:hAnsi="宋体" w:cs="仿宋" w:hint="eastAsia"/>
                <w:color w:val="000000"/>
                <w:sz w:val="24"/>
                <w:szCs w:val="24"/>
              </w:rPr>
              <w:t xml:space="preserve"> </w:t>
            </w:r>
          </w:p>
        </w:tc>
        <w:tc>
          <w:tcPr>
            <w:tcW w:w="6095" w:type="dxa"/>
            <w:tcBorders>
              <w:top w:val="single" w:sz="4" w:space="0" w:color="auto"/>
              <w:left w:val="nil"/>
              <w:bottom w:val="single" w:sz="4" w:space="0" w:color="auto"/>
              <w:right w:val="single" w:sz="4" w:space="0" w:color="auto"/>
            </w:tcBorders>
            <w:vAlign w:val="center"/>
          </w:tcPr>
          <w:p w:rsidR="00DE18AE" w:rsidRDefault="00135135">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环境管理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应指定专门的部门或人员负责机房安全，对机房出入进行管理，定期对机房供配电、空调、温湿度控制、消防等设施进行维护管理。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应建立机房安全管理制度，对有关物理访问、物品进出和环境安全等方面的管理做出规定。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应不在重要区域接待来访人员，不随意放置含有敏感信息的纸质文档和移动介质等。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资产管理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应编制并保存与保护对象相关的资产清单，包括资产责任部门、重要程度和所处位置等内容。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应根据资产的重要程度对资产进行标识管理，根据资产的价值选择相应的管理措施。</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应对信息分类与标识方法做出规定，并对信息的使用、传输和存储等进行规范化管理。</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介质管理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应将介质存放在安全的环境中，对各类介质进行控制和保护，实行存储介质专人管理，并根据存档介质的目录清单定期盘点。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应对介质在物理传输过程中的人员选择、打包、交付等情况进行控制，并对介质的归档和查询等进行登记记录。</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设备维护管理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应对各种设备（包括备份和冗余设备）、线路等指定专门的部门或人员定期进行维护管理。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应建立配套设施、软硬件维护方面的管理制度，对其维护进行有效管理，包括明确维护人员的责任、维修和服务的审批、维修过程的监督控制等。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信息处理设备应经过审批才能带离机房或办公地点，含有存储介质的设备带出工作环境时其中重要数据应加密。</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含有存储介质的设备在报废或重用前，应进行完全清除或被安全覆盖，保证该设备上的敏感数据和授权软件无法被恢复重用。</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漏洞和风险管理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应采取必要的措施识别安全漏洞和隐患，对发现的安全漏洞和隐患及时进行修补或评估可能的影响后进行修补。</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）应定期开展安全测评，形成安全测评报告，采取措施应对发现的安全问题。</w:t>
            </w:r>
            <w:r>
              <w:rPr>
                <w:rFonts w:ascii="宋体" w:hAnsi="宋体" w:cs="仿宋" w:hint="eastAsia"/>
                <w:sz w:val="24"/>
                <w:szCs w:val="24"/>
              </w:rPr>
              <w:t xml:space="preserve"> </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网络和系统安全管理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应划分不同的管理员角色进行网络和系统的运维管理，明确各个角色的责任和权限。</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应指定专门的部门或人员进行账户管理，对申请账户、建立账户、删除账户等进行控制。</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）应建立网络和系统安全管理制度，对安全策略、账户管理、配置管理、日志管理、日常操作、升级与打补丁、口令更新等方面做出规定。</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应制定重要设备的配置和操作手册，依据手册对设备进行安全配置和优化配置。</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e) </w:t>
            </w:r>
            <w:r>
              <w:rPr>
                <w:rFonts w:ascii="宋体" w:hAnsi="宋体" w:cs="仿宋" w:hint="eastAsia"/>
                <w:sz w:val="24"/>
                <w:szCs w:val="24"/>
              </w:rPr>
              <w:t>应详细记录运维操作日志，包括日常巡检工作、运行维护记录、参数的设置和修改等内容。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f)</w:t>
            </w:r>
            <w:r>
              <w:rPr>
                <w:rFonts w:ascii="宋体" w:hAnsi="宋体" w:cs="仿宋" w:hint="eastAsia"/>
                <w:sz w:val="24"/>
                <w:szCs w:val="24"/>
              </w:rPr>
              <w:t>应指定专门的部门或人员对日志、监测和报警数据等进行分析、统计，及时发现可疑行为。</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g)</w:t>
            </w:r>
            <w:r>
              <w:rPr>
                <w:rFonts w:ascii="宋体" w:hAnsi="宋体" w:cs="仿宋" w:hint="eastAsia"/>
                <w:sz w:val="24"/>
                <w:szCs w:val="24"/>
              </w:rPr>
              <w:t>应严格控制变更性运维，经过审批后才可改变连接、安装系统组件或调整配置参数，</w:t>
            </w:r>
            <w:r>
              <w:rPr>
                <w:rFonts w:ascii="宋体" w:hAnsi="宋体" w:cs="仿宋" w:hint="eastAsia"/>
                <w:sz w:val="24"/>
                <w:szCs w:val="24"/>
              </w:rPr>
              <w:t xml:space="preserve"> </w:t>
            </w:r>
            <w:r>
              <w:rPr>
                <w:rFonts w:ascii="宋体" w:hAnsi="宋体" w:cs="仿宋" w:hint="eastAsia"/>
                <w:sz w:val="24"/>
                <w:szCs w:val="24"/>
              </w:rPr>
              <w:t>操作过程中应保留不可更改的审计日志，操作结束后应同步更新配置信息库。</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h)</w:t>
            </w:r>
            <w:r>
              <w:rPr>
                <w:rFonts w:ascii="宋体" w:hAnsi="宋体" w:cs="仿宋" w:hint="eastAsia"/>
                <w:sz w:val="24"/>
                <w:szCs w:val="24"/>
              </w:rPr>
              <w:t>应严格控制运维工具的使用，经过审批后才可接入进行操作，操作过程中应保留不可更改的审计日志，操作结束后应删除工具中的敏感数据。</w:t>
            </w:r>
            <w:r>
              <w:rPr>
                <w:rFonts w:ascii="宋体" w:hAnsi="宋体" w:cs="仿宋" w:hint="eastAsia"/>
                <w:sz w:val="24"/>
                <w:szCs w:val="24"/>
              </w:rPr>
              <w:t xml:space="preserve"> </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i)</w:t>
            </w:r>
            <w:r>
              <w:rPr>
                <w:rFonts w:ascii="宋体" w:hAnsi="宋体" w:cs="仿宋" w:hint="eastAsia"/>
                <w:sz w:val="24"/>
                <w:szCs w:val="24"/>
              </w:rPr>
              <w:t>应严格控制远程运维的开通，经过审批后才可开通远程运维接口或通道，操作过程中应保留不可更改的审计日志，操作结束后立即关闭接口或通道。</w:t>
            </w:r>
            <w:r>
              <w:rPr>
                <w:rFonts w:ascii="宋体" w:hAnsi="宋体" w:cs="仿宋" w:hint="eastAsia"/>
                <w:sz w:val="24"/>
                <w:szCs w:val="24"/>
              </w:rPr>
              <w:t xml:space="preserve">  </w:t>
            </w:r>
          </w:p>
        </w:tc>
      </w:tr>
      <w:tr w:rsidR="00DE18AE">
        <w:trPr>
          <w:trHeight w:val="674"/>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j)</w:t>
            </w:r>
            <w:r>
              <w:rPr>
                <w:rFonts w:ascii="宋体" w:hAnsi="宋体" w:cs="仿宋" w:hint="eastAsia"/>
                <w:sz w:val="24"/>
                <w:szCs w:val="24"/>
              </w:rPr>
              <w:t>应保证所有与外部的连接均得到授权和批准，应定期检查违反规定无线上网及其他违反网络安全策略的行为。</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恶意代码防范管理</w:t>
            </w: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应提高所有用户的防恶意代码意识，对外来计算机或存储设备接入系统前进行恶意代码检查等。</w:t>
            </w:r>
          </w:p>
        </w:tc>
      </w:tr>
      <w:tr w:rsidR="00DE18AE">
        <w:trPr>
          <w:trHeight w:val="467"/>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应定期验证防范恶意代码攻击的技术措施的有效性。</w:t>
            </w:r>
            <w:r>
              <w:rPr>
                <w:rFonts w:ascii="宋体" w:hAnsi="宋体" w:cs="仿宋" w:hint="eastAsia"/>
                <w:sz w:val="24"/>
                <w:szCs w:val="24"/>
              </w:rPr>
              <w:t xml:space="preserve"> </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配置管理</w:t>
            </w: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应记录和保存基本配置信息，包括网络拓扑结构、各个设备安装的软件组件、软件组件的版本和补丁信息、各个设备或软件组件的配置参数等。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b) </w:t>
            </w:r>
            <w:r>
              <w:rPr>
                <w:rFonts w:ascii="宋体" w:hAnsi="宋体" w:cs="仿宋" w:hint="eastAsia"/>
                <w:sz w:val="24"/>
                <w:szCs w:val="24"/>
              </w:rPr>
              <w:t>应将基本配置信息改变纳入变更范畴，实施对配置信息改变的控制，并及时更新基本配置信息库。</w:t>
            </w:r>
            <w:r>
              <w:rPr>
                <w:rFonts w:ascii="宋体" w:hAnsi="宋体" w:cs="仿宋" w:hint="eastAsia"/>
                <w:sz w:val="24"/>
                <w:szCs w:val="24"/>
              </w:rPr>
              <w:t xml:space="preserve"> </w:t>
            </w:r>
          </w:p>
        </w:tc>
      </w:tr>
      <w:tr w:rsidR="00DE18AE">
        <w:trPr>
          <w:trHeight w:val="407"/>
        </w:trPr>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密码管理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 xml:space="preserve">a) </w:t>
            </w:r>
            <w:r>
              <w:rPr>
                <w:rFonts w:ascii="宋体" w:hAnsi="宋体" w:cs="仿宋" w:hint="eastAsia"/>
                <w:sz w:val="24"/>
                <w:szCs w:val="24"/>
              </w:rPr>
              <w:t>应遵循密码相关的国家标准和行业标准。</w:t>
            </w:r>
          </w:p>
        </w:tc>
      </w:tr>
      <w:tr w:rsidR="00DE18AE">
        <w:trPr>
          <w:trHeight w:val="407"/>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）应使用国家密码管理主管部门认证核准的密码技术和产品。</w:t>
            </w:r>
          </w:p>
        </w:tc>
      </w:tr>
      <w:tr w:rsidR="00DE18AE">
        <w:trPr>
          <w:trHeight w:val="674"/>
        </w:trPr>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变更管理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应明确变更需求，变更前根据变更需求制定变更方案，变更方案经过评审、审批后方可实施。</w:t>
            </w:r>
          </w:p>
        </w:tc>
      </w:tr>
      <w:tr w:rsidR="00DE18AE">
        <w:trPr>
          <w:trHeight w:val="704"/>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应建立变更的申报和审批控制程序，依据程序控制所有的变更，记录变更实施过程。</w:t>
            </w:r>
          </w:p>
        </w:tc>
      </w:tr>
      <w:tr w:rsidR="00DE18AE">
        <w:trPr>
          <w:trHeight w:val="704"/>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应建立中止变更并从失败变更中恢复的程序，明确过程控制方法和人员职责，必要时对恢复过程进行演练。</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备份与恢复管理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应识别需要定期备份的重要业务信息、系统数据及软件系统等。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应规定备份信息的备份方式、备份频度、存储介质、保存期等。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应根据数据的重要性和数据对系统运行的影响，制定数据的备份策略和恢复策略、</w:t>
            </w:r>
            <w:r>
              <w:rPr>
                <w:rFonts w:ascii="宋体" w:hAnsi="宋体" w:cs="仿宋" w:hint="eastAsia"/>
                <w:sz w:val="24"/>
                <w:szCs w:val="24"/>
              </w:rPr>
              <w:t xml:space="preserve"> </w:t>
            </w:r>
            <w:r>
              <w:rPr>
                <w:rFonts w:ascii="宋体" w:hAnsi="宋体" w:cs="仿宋" w:hint="eastAsia"/>
                <w:sz w:val="24"/>
                <w:szCs w:val="24"/>
              </w:rPr>
              <w:t>备份程序和恢复程序等。</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安全事件处置</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应及时向安全管理部门报告所发现的安全弱点和</w:t>
            </w:r>
            <w:r>
              <w:rPr>
                <w:rFonts w:ascii="宋体" w:hAnsi="宋体" w:cs="仿宋" w:hint="eastAsia"/>
                <w:sz w:val="24"/>
                <w:szCs w:val="24"/>
              </w:rPr>
              <w:lastRenderedPageBreak/>
              <w:t>可疑事件。</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应制定安全事件报告和处置管理制度，明确不同安全事件的报告、处置和响应流程，规定安全事件的现场处理、事件报告和后期恢复的管理职责等。</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应在安全事件报告和响应处理过程中，分析和鉴定事件产生的原因，收集证据，记录处理过程，总结经验教训。</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对造成系统中断和造成信息泄露的重大安全事件采用不同的处理程序和报告程序。</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应急预案管理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应规定统一的应急预案框架，包括启动预案的条件、应急组织构成、应急资源保障、事后教育和培训等内容。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应制定重要事件的应急预案，包括应急处理流程、系统恢复流程等内容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应定期对系统相关的人员进行应急预案培训，并进行应急预案的演练。</w:t>
            </w:r>
          </w:p>
        </w:tc>
      </w:tr>
      <w:tr w:rsidR="00DE18AE">
        <w:trPr>
          <w:trHeight w:val="437"/>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）应定期对原有的应急预案重新评估，修订完善。</w:t>
            </w:r>
          </w:p>
        </w:tc>
      </w:tr>
      <w:tr w:rsidR="00DE18AE">
        <w:tc>
          <w:tcPr>
            <w:tcW w:w="817" w:type="dxa"/>
            <w:vMerge w:val="restart"/>
            <w:tcBorders>
              <w:top w:val="nil"/>
              <w:left w:val="single" w:sz="4" w:space="0" w:color="auto"/>
              <w:bottom w:val="single" w:sz="4" w:space="0" w:color="auto"/>
              <w:right w:val="single" w:sz="4" w:space="0" w:color="auto"/>
            </w:tcBorders>
            <w:vAlign w:val="center"/>
          </w:tcPr>
          <w:p w:rsidR="00DE18AE" w:rsidRDefault="00DE18AE">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DE18AE" w:rsidRDefault="00135135">
            <w:pPr>
              <w:adjustRightInd w:val="0"/>
              <w:textAlignment w:val="baseline"/>
              <w:rPr>
                <w:rFonts w:ascii="宋体" w:hAnsi="宋体" w:cs="仿宋"/>
                <w:sz w:val="24"/>
                <w:szCs w:val="24"/>
              </w:rPr>
            </w:pPr>
            <w:r>
              <w:rPr>
                <w:rFonts w:ascii="宋体" w:hAnsi="宋体" w:cs="仿宋" w:hint="eastAsia"/>
                <w:sz w:val="24"/>
                <w:szCs w:val="24"/>
              </w:rPr>
              <w:t>外包运维管理</w:t>
            </w: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a)</w:t>
            </w:r>
            <w:r>
              <w:rPr>
                <w:rFonts w:ascii="宋体" w:hAnsi="宋体" w:cs="仿宋" w:hint="eastAsia"/>
                <w:sz w:val="24"/>
                <w:szCs w:val="24"/>
              </w:rPr>
              <w:t>应确保外包运维服务商的选择符合国家的有关规定。</w:t>
            </w:r>
          </w:p>
        </w:tc>
      </w:tr>
      <w:tr w:rsidR="00DE18AE">
        <w:trPr>
          <w:trHeight w:val="845"/>
        </w:trPr>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b)</w:t>
            </w:r>
            <w:r>
              <w:rPr>
                <w:rFonts w:ascii="宋体" w:hAnsi="宋体" w:cs="仿宋" w:hint="eastAsia"/>
                <w:sz w:val="24"/>
                <w:szCs w:val="24"/>
              </w:rPr>
              <w:t>应与选定的外包运维服务商签订相关的协议，明确约定外包运维的范围、工作内容。</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c)</w:t>
            </w:r>
            <w:r>
              <w:rPr>
                <w:rFonts w:ascii="宋体" w:hAnsi="宋体" w:cs="仿宋" w:hint="eastAsia"/>
                <w:sz w:val="24"/>
                <w:szCs w:val="24"/>
              </w:rPr>
              <w:t>应保证选择的外包运维服务商在技术和管理方面均应具有按照等级保护要求开展</w:t>
            </w:r>
            <w:r>
              <w:rPr>
                <w:rFonts w:ascii="宋体" w:hAnsi="宋体" w:cs="仿宋" w:hint="eastAsia"/>
                <w:sz w:val="24"/>
                <w:szCs w:val="24"/>
              </w:rPr>
              <w:t xml:space="preserve"> </w:t>
            </w:r>
            <w:r>
              <w:rPr>
                <w:rFonts w:ascii="宋体" w:hAnsi="宋体" w:cs="仿宋" w:hint="eastAsia"/>
                <w:sz w:val="24"/>
                <w:szCs w:val="24"/>
              </w:rPr>
              <w:t>安全运维工作的能力，并将能力要求在签订的协议中明确。</w:t>
            </w:r>
          </w:p>
        </w:tc>
      </w:tr>
      <w:tr w:rsidR="00DE18AE">
        <w:tc>
          <w:tcPr>
            <w:tcW w:w="817" w:type="dxa"/>
            <w:vMerge/>
            <w:tcBorders>
              <w:top w:val="nil"/>
              <w:left w:val="single" w:sz="4" w:space="0" w:color="auto"/>
              <w:bottom w:val="single" w:sz="4" w:space="0" w:color="auto"/>
              <w:right w:val="single" w:sz="4" w:space="0" w:color="auto"/>
            </w:tcBorders>
            <w:vAlign w:val="center"/>
          </w:tcPr>
          <w:p w:rsidR="00DE18AE" w:rsidRDefault="00DE18AE">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DE18AE" w:rsidRDefault="00DE18AE">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DE18AE" w:rsidRDefault="00135135">
            <w:pPr>
              <w:adjustRightInd w:val="0"/>
              <w:ind w:firstLine="454"/>
              <w:textAlignment w:val="baseline"/>
              <w:rPr>
                <w:rFonts w:ascii="宋体" w:hAnsi="宋体" w:cs="仿宋"/>
                <w:sz w:val="24"/>
                <w:szCs w:val="24"/>
              </w:rPr>
            </w:pPr>
            <w:r>
              <w:rPr>
                <w:rFonts w:ascii="宋体" w:hAnsi="宋体" w:cs="仿宋" w:hint="eastAsia"/>
                <w:sz w:val="24"/>
                <w:szCs w:val="24"/>
              </w:rPr>
              <w:t>d)</w:t>
            </w:r>
            <w:r>
              <w:rPr>
                <w:rFonts w:ascii="宋体" w:hAnsi="宋体" w:cs="仿宋" w:hint="eastAsia"/>
                <w:sz w:val="24"/>
                <w:szCs w:val="24"/>
              </w:rPr>
              <w:t>应在与外包运维服务商签订的协议中明确所有相关的安全要求，如可能涉及对敏感信息的访问、处理、存储要求，对</w:t>
            </w:r>
            <w:r>
              <w:rPr>
                <w:rFonts w:ascii="宋体" w:hAnsi="宋体" w:cs="仿宋" w:hint="eastAsia"/>
                <w:sz w:val="24"/>
                <w:szCs w:val="24"/>
              </w:rPr>
              <w:t>IT</w:t>
            </w:r>
            <w:r>
              <w:rPr>
                <w:rFonts w:ascii="宋体" w:hAnsi="宋体" w:cs="仿宋" w:hint="eastAsia"/>
                <w:sz w:val="24"/>
                <w:szCs w:val="24"/>
              </w:rPr>
              <w:t>基础设施中断服务的应急保障要求等。</w:t>
            </w:r>
          </w:p>
        </w:tc>
      </w:tr>
    </w:tbl>
    <w:p w:rsidR="00DE18AE" w:rsidRDefault="00135135">
      <w:pPr>
        <w:rPr>
          <w:rStyle w:val="NEW"/>
          <w:szCs w:val="22"/>
        </w:rPr>
      </w:pPr>
      <w:r>
        <w:rPr>
          <w:rStyle w:val="NEW"/>
          <w:rFonts w:hint="eastAsia"/>
          <w:szCs w:val="22"/>
        </w:rPr>
        <w:br w:type="page"/>
      </w:r>
    </w:p>
    <w:p w:rsidR="00DE18AE" w:rsidRDefault="00135135">
      <w:pPr>
        <w:pStyle w:val="1"/>
        <w:spacing w:beforeLines="50" w:before="156" w:afterLines="100" w:after="312"/>
        <w:rPr>
          <w:rStyle w:val="NEW"/>
          <w:szCs w:val="22"/>
        </w:rPr>
      </w:pPr>
      <w:r>
        <w:rPr>
          <w:rStyle w:val="NEW"/>
          <w:rFonts w:hint="eastAsia"/>
          <w:szCs w:val="22"/>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73"/>
        <w:gridCol w:w="5215"/>
      </w:tblGrid>
      <w:tr w:rsidR="00DE18AE">
        <w:tc>
          <w:tcPr>
            <w:tcW w:w="3307" w:type="dxa"/>
            <w:gridSpan w:val="2"/>
            <w:tcBorders>
              <w:top w:val="single" w:sz="4" w:space="0" w:color="auto"/>
              <w:left w:val="single" w:sz="4" w:space="0" w:color="auto"/>
              <w:right w:val="single" w:sz="4" w:space="0" w:color="auto"/>
            </w:tcBorders>
            <w:vAlign w:val="center"/>
          </w:tcPr>
          <w:p w:rsidR="00DE18AE" w:rsidRDefault="00135135">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审查内容</w:t>
            </w:r>
          </w:p>
        </w:tc>
        <w:tc>
          <w:tcPr>
            <w:tcW w:w="5215" w:type="dxa"/>
            <w:tcBorders>
              <w:left w:val="single" w:sz="4" w:space="0" w:color="auto"/>
            </w:tcBorders>
            <w:vAlign w:val="center"/>
          </w:tcPr>
          <w:p w:rsidR="00DE18AE" w:rsidRDefault="00135135">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评审因素</w:t>
            </w:r>
          </w:p>
        </w:tc>
      </w:tr>
      <w:tr w:rsidR="00DE18AE">
        <w:tc>
          <w:tcPr>
            <w:tcW w:w="534" w:type="dxa"/>
            <w:vMerge w:val="restart"/>
            <w:tcBorders>
              <w:left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资格性</w:t>
            </w:r>
            <w:r>
              <w:rPr>
                <w:rFonts w:asciiTheme="minorEastAsia" w:eastAsiaTheme="minorEastAsia" w:hAnsiTheme="minorEastAsia"/>
                <w:sz w:val="24"/>
                <w:szCs w:val="24"/>
              </w:rPr>
              <w:t>审查</w:t>
            </w: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宋体" w:hAnsi="宋体" w:hint="eastAsia"/>
                <w:sz w:val="24"/>
                <w:szCs w:val="24"/>
              </w:rPr>
              <w:t>具有独立承担民事责任的能力</w:t>
            </w:r>
          </w:p>
        </w:tc>
        <w:tc>
          <w:tcPr>
            <w:tcW w:w="5215" w:type="dxa"/>
            <w:tcBorders>
              <w:lef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宋体" w:hAnsi="宋体" w:hint="eastAsia"/>
                <w:sz w:val="24"/>
                <w:szCs w:val="24"/>
              </w:rPr>
              <w:t>主体信用记录</w:t>
            </w:r>
          </w:p>
        </w:tc>
        <w:tc>
          <w:tcPr>
            <w:tcW w:w="5215" w:type="dxa"/>
            <w:tcBorders>
              <w:lef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）查询，未被列入信用记录失信被执行人、重大税收违法案件当事人名单、政府采购严重违法失信行为记录名单</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公正性</w:t>
            </w:r>
          </w:p>
        </w:tc>
        <w:tc>
          <w:tcPr>
            <w:tcW w:w="5215" w:type="dxa"/>
            <w:tcBorders>
              <w:lef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1</w:t>
            </w:r>
          </w:p>
        </w:tc>
        <w:tc>
          <w:tcPr>
            <w:tcW w:w="5215" w:type="dxa"/>
            <w:tcBorders>
              <w:lef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供应商必须具有国家网络安全等级保护工作协调小组办公室颁发的《网络安全等级保护测评机构推荐证书》。省外等级保护测评机构须在湖北省网络安全等级保护工作领导小组办公室办理异地测评备案手续</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2</w:t>
            </w:r>
          </w:p>
        </w:tc>
        <w:tc>
          <w:tcPr>
            <w:tcW w:w="5215" w:type="dxa"/>
            <w:tcBorders>
              <w:lef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供应商需具有专业化的项目实施队伍或具备公安机关认可的攻防演练实验室；项目实施负责人应具有等级保护高级测评师资质或软件测试高级资质，等保测评实施人员必须具有等级测评师资质（</w:t>
            </w:r>
            <w:r>
              <w:rPr>
                <w:rFonts w:ascii="宋体" w:hAnsi="宋体" w:hint="eastAsia"/>
                <w:sz w:val="24"/>
                <w:szCs w:val="24"/>
              </w:rPr>
              <w:t>DJCP</w:t>
            </w:r>
            <w:r>
              <w:rPr>
                <w:rFonts w:ascii="宋体" w:hAnsi="宋体" w:hint="eastAsia"/>
                <w:sz w:val="24"/>
                <w:szCs w:val="24"/>
              </w:rPr>
              <w:t>）或高级工程师资质，等级测评师不少于</w:t>
            </w:r>
            <w:r>
              <w:rPr>
                <w:rFonts w:ascii="宋体" w:hAnsi="宋体" w:hint="eastAsia"/>
                <w:sz w:val="24"/>
                <w:szCs w:val="24"/>
              </w:rPr>
              <w:t>5</w:t>
            </w:r>
            <w:r>
              <w:rPr>
                <w:rFonts w:ascii="宋体" w:hAnsi="宋体" w:hint="eastAsia"/>
                <w:sz w:val="24"/>
                <w:szCs w:val="24"/>
              </w:rPr>
              <w:t>人。（提供相应证明文件复印件加盖公章）</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3</w:t>
            </w:r>
          </w:p>
        </w:tc>
        <w:tc>
          <w:tcPr>
            <w:tcW w:w="5215" w:type="dxa"/>
            <w:tcBorders>
              <w:left w:val="single" w:sz="4" w:space="0" w:color="auto"/>
            </w:tcBorders>
            <w:vAlign w:val="center"/>
          </w:tcPr>
          <w:p w:rsidR="00DE18AE" w:rsidRDefault="00135135">
            <w:pPr>
              <w:spacing w:line="460" w:lineRule="exact"/>
              <w:rPr>
                <w:rFonts w:ascii="宋体" w:hAnsi="宋体"/>
                <w:sz w:val="24"/>
                <w:szCs w:val="24"/>
              </w:rPr>
            </w:pPr>
            <w:r>
              <w:rPr>
                <w:rFonts w:ascii="宋体" w:hAnsi="宋体" w:hint="eastAsia"/>
                <w:sz w:val="24"/>
                <w:szCs w:val="24"/>
              </w:rPr>
              <w:t>近三年内被中关村信息安全测评联盟或相关行业主管部门责令整改过的测评机构，不得参与本</w:t>
            </w:r>
            <w:r>
              <w:rPr>
                <w:rFonts w:ascii="宋体" w:hAnsi="宋体" w:hint="eastAsia"/>
                <w:sz w:val="24"/>
                <w:szCs w:val="24"/>
              </w:rPr>
              <w:lastRenderedPageBreak/>
              <w:t>项目的投标与测评等相关事宜。</w:t>
            </w:r>
          </w:p>
        </w:tc>
      </w:tr>
      <w:tr w:rsidR="00DE18AE">
        <w:tc>
          <w:tcPr>
            <w:tcW w:w="534" w:type="dxa"/>
            <w:vMerge/>
            <w:tcBorders>
              <w:left w:val="single" w:sz="4" w:space="0" w:color="auto"/>
              <w:bottom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联合体</w:t>
            </w:r>
          </w:p>
        </w:tc>
        <w:tc>
          <w:tcPr>
            <w:tcW w:w="5215" w:type="dxa"/>
            <w:tcBorders>
              <w:lef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本项目不接受联合体投标</w:t>
            </w:r>
          </w:p>
        </w:tc>
      </w:tr>
      <w:tr w:rsidR="00DE18AE">
        <w:tc>
          <w:tcPr>
            <w:tcW w:w="534" w:type="dxa"/>
            <w:vMerge w:val="restart"/>
            <w:tcBorders>
              <w:left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符合性审查</w:t>
            </w: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投标人名称</w:t>
            </w:r>
          </w:p>
        </w:tc>
        <w:tc>
          <w:tcPr>
            <w:tcW w:w="5215"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与营业执照等其他证件一致</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投标文件签署</w:t>
            </w:r>
          </w:p>
        </w:tc>
        <w:tc>
          <w:tcPr>
            <w:tcW w:w="5215"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按要求在规定区域加盖单位公章和签章</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法人或授权代表资格</w:t>
            </w:r>
          </w:p>
        </w:tc>
        <w:tc>
          <w:tcPr>
            <w:tcW w:w="5215"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具有法定代表人资格证明或法定代表人授权委托书</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w:t>
            </w:r>
          </w:p>
        </w:tc>
        <w:tc>
          <w:tcPr>
            <w:tcW w:w="5215"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投标报价唯一；投标报价未超过预算金额或者最高限价；投标报价合理</w:t>
            </w:r>
          </w:p>
        </w:tc>
      </w:tr>
      <w:tr w:rsidR="00DE18AE">
        <w:tc>
          <w:tcPr>
            <w:tcW w:w="534" w:type="dxa"/>
            <w:vMerge/>
            <w:tcBorders>
              <w:left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采购需求</w:t>
            </w:r>
          </w:p>
        </w:tc>
        <w:tc>
          <w:tcPr>
            <w:tcW w:w="5215"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符合采购文件要求</w:t>
            </w:r>
          </w:p>
        </w:tc>
      </w:tr>
      <w:tr w:rsidR="00DE18AE">
        <w:tc>
          <w:tcPr>
            <w:tcW w:w="534" w:type="dxa"/>
            <w:vMerge/>
            <w:tcBorders>
              <w:left w:val="single" w:sz="4" w:space="0" w:color="auto"/>
              <w:bottom w:val="single" w:sz="4" w:space="0" w:color="auto"/>
              <w:right w:val="single" w:sz="4" w:space="0" w:color="auto"/>
            </w:tcBorders>
            <w:vAlign w:val="center"/>
          </w:tcPr>
          <w:p w:rsidR="00DE18AE" w:rsidRDefault="00DE18AE">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其他要求</w:t>
            </w:r>
          </w:p>
        </w:tc>
        <w:tc>
          <w:tcPr>
            <w:tcW w:w="5215" w:type="dxa"/>
            <w:tcBorders>
              <w:top w:val="single" w:sz="4" w:space="0" w:color="auto"/>
              <w:left w:val="single" w:sz="4" w:space="0" w:color="auto"/>
              <w:bottom w:val="single" w:sz="4" w:space="0" w:color="auto"/>
              <w:right w:val="single" w:sz="4" w:space="0" w:color="auto"/>
            </w:tcBorders>
            <w:vAlign w:val="center"/>
          </w:tcPr>
          <w:p w:rsidR="00DE18AE" w:rsidRDefault="00135135">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符合法律、法规和采购文件中规定的其他实质性内容的</w:t>
            </w:r>
          </w:p>
        </w:tc>
      </w:tr>
    </w:tbl>
    <w:p w:rsidR="00DE18AE" w:rsidRDefault="00135135">
      <w:pPr>
        <w:jc w:val="left"/>
        <w:outlineLvl w:val="0"/>
        <w:rPr>
          <w:rFonts w:asciiTheme="minorEastAsia" w:eastAsiaTheme="minorEastAsia" w:hAnsiTheme="minorEastAsia" w:cs="宋体"/>
          <w:b/>
          <w:bCs/>
          <w:color w:val="FF0000"/>
          <w:kern w:val="0"/>
          <w:sz w:val="28"/>
          <w:szCs w:val="28"/>
        </w:rPr>
      </w:pPr>
      <w:r>
        <w:rPr>
          <w:rStyle w:val="NEW"/>
          <w:rFonts w:hint="eastAsia"/>
          <w:b/>
          <w:bCs/>
          <w:kern w:val="44"/>
          <w:szCs w:val="22"/>
        </w:rPr>
        <w:t>五、投标人须提交的资料</w:t>
      </w:r>
      <w:r>
        <w:rPr>
          <w:rStyle w:val="NEW"/>
          <w:rFonts w:hint="eastAsia"/>
          <w:b/>
          <w:bCs/>
          <w:color w:val="FF0000"/>
          <w:kern w:val="44"/>
          <w:szCs w:val="22"/>
        </w:rPr>
        <w:t>（所有资料需加盖公章，不按要求提供资料为废标）：</w:t>
      </w:r>
    </w:p>
    <w:p w:rsidR="00DE18AE" w:rsidRDefault="00135135">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DE18AE" w:rsidRDefault="0013513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DE18AE" w:rsidRDefault="0013513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w:t>
      </w:r>
      <w:r>
        <w:rPr>
          <w:rFonts w:ascii="宋体" w:hAnsi="宋体" w:cs="宋体" w:hint="eastAsia"/>
          <w:b/>
          <w:kern w:val="0"/>
          <w:sz w:val="28"/>
          <w:szCs w:val="28"/>
          <w:u w:val="single"/>
        </w:rPr>
        <w:t>核对身份）</w:t>
      </w:r>
      <w:r>
        <w:rPr>
          <w:rFonts w:ascii="宋体" w:hAnsi="宋体" w:cs="宋体" w:hint="eastAsia"/>
          <w:kern w:val="0"/>
          <w:sz w:val="28"/>
          <w:szCs w:val="28"/>
        </w:rPr>
        <w:t>。</w:t>
      </w:r>
    </w:p>
    <w:p w:rsidR="00DE18AE" w:rsidRDefault="00135135">
      <w:pPr>
        <w:widowControl/>
        <w:shd w:val="clear" w:color="auto" w:fill="FFFFFF"/>
        <w:spacing w:line="500" w:lineRule="exact"/>
        <w:ind w:firstLineChars="200" w:firstLine="560"/>
        <w:jc w:val="left"/>
        <w:rPr>
          <w:rFonts w:ascii="宋体" w:hAnsi="宋体"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w:t>
      </w:r>
      <w:r>
        <w:rPr>
          <w:rFonts w:ascii="宋体" w:hAnsi="宋体" w:cs="宋体" w:hint="eastAsia"/>
          <w:kern w:val="0"/>
          <w:sz w:val="28"/>
          <w:szCs w:val="28"/>
        </w:rPr>
        <w:t>投标报价表。</w:t>
      </w:r>
    </w:p>
    <w:p w:rsidR="00DE18AE" w:rsidRDefault="00135135">
      <w:pPr>
        <w:widowControl/>
        <w:shd w:val="clear" w:color="auto" w:fill="FFFFFF"/>
        <w:spacing w:line="50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5</w:t>
      </w:r>
      <w:r>
        <w:rPr>
          <w:rFonts w:asciiTheme="minorEastAsia" w:eastAsiaTheme="minorEastAsia" w:hAnsiTheme="minorEastAsia" w:hint="eastAsia"/>
          <w:sz w:val="28"/>
          <w:szCs w:val="28"/>
          <w:lang w:val="zh-CN"/>
        </w:rPr>
        <w:t>、提供国家网络安全等级保护工作协调小组办公室颁发的《网络安全等级保护测评机构推荐证书》的复印件并加盖公章。省外等级保护测评机构须提供在湖北省网络安全等级保护工作领导小组办公室办理异地测评备案手续的相应证明文件。</w:t>
      </w:r>
    </w:p>
    <w:p w:rsidR="00DE18AE" w:rsidRDefault="00135135">
      <w:pPr>
        <w:widowControl/>
        <w:shd w:val="clear" w:color="auto" w:fill="FFFFFF"/>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w:t>
      </w:r>
      <w:r>
        <w:rPr>
          <w:rFonts w:asciiTheme="minorEastAsia" w:eastAsiaTheme="minorEastAsia" w:hAnsiTheme="minorEastAsia" w:hint="eastAsia"/>
          <w:sz w:val="28"/>
          <w:szCs w:val="28"/>
        </w:rPr>
        <w:t>、供应商需具有专业化的项目实施队伍或具备公安机关认可的攻防演练实验室；项目实施负责人应具有等级保护高级测评师资质或软件测试高级资质，等保测评实施人员必须具有等级测评师资质（</w:t>
      </w:r>
      <w:r>
        <w:rPr>
          <w:rFonts w:asciiTheme="minorEastAsia" w:eastAsiaTheme="minorEastAsia" w:hAnsiTheme="minorEastAsia" w:hint="eastAsia"/>
          <w:sz w:val="28"/>
          <w:szCs w:val="28"/>
        </w:rPr>
        <w:t>DJCP</w:t>
      </w:r>
      <w:r>
        <w:rPr>
          <w:rFonts w:asciiTheme="minorEastAsia" w:eastAsiaTheme="minorEastAsia" w:hAnsiTheme="minorEastAsia" w:hint="eastAsia"/>
          <w:sz w:val="28"/>
          <w:szCs w:val="28"/>
        </w:rPr>
        <w:t>）或高级工程师资质，等级测评师不少于</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人。（提供相应证明文件复印件加盖公章）。</w:t>
      </w:r>
    </w:p>
    <w:p w:rsidR="00DE18AE" w:rsidRDefault="00135135">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hint="eastAsia"/>
          <w:kern w:val="0"/>
          <w:sz w:val="28"/>
          <w:szCs w:val="28"/>
        </w:rPr>
        <w:t>6</w:t>
      </w:r>
      <w:r>
        <w:rPr>
          <w:rFonts w:asciiTheme="minorEastAsia" w:eastAsiaTheme="minorEastAsia" w:hAnsiTheme="minorEastAsia" w:cs="宋体" w:hint="eastAsia"/>
          <w:kern w:val="0"/>
          <w:sz w:val="28"/>
          <w:szCs w:val="28"/>
        </w:rPr>
        <w:t>、投标人认为需要提供的其他资料。</w:t>
      </w:r>
    </w:p>
    <w:p w:rsidR="00DE18AE" w:rsidRDefault="00135135">
      <w:pPr>
        <w:widowControl/>
        <w:shd w:val="clear" w:color="auto" w:fill="FFFFFF"/>
        <w:spacing w:line="500" w:lineRule="exact"/>
        <w:ind w:firstLineChars="200" w:firstLine="560"/>
        <w:jc w:val="left"/>
        <w:rPr>
          <w:rFonts w:ascii="宋体" w:cs="Times New Roman"/>
          <w:kern w:val="0"/>
          <w:sz w:val="28"/>
          <w:szCs w:val="28"/>
        </w:rPr>
      </w:pPr>
      <w:r>
        <w:rPr>
          <w:rFonts w:asciiTheme="minorEastAsia" w:eastAsiaTheme="minorEastAsia" w:hAnsiTheme="minorEastAsia" w:cs="宋体" w:hint="eastAsia"/>
          <w:kern w:val="0"/>
          <w:sz w:val="28"/>
          <w:szCs w:val="28"/>
        </w:rPr>
        <w:t>7</w:t>
      </w:r>
      <w:r>
        <w:rPr>
          <w:rFonts w:asciiTheme="minorEastAsia" w:eastAsiaTheme="minorEastAsia" w:hAnsiTheme="minorEastAsia" w:cs="宋体" w:hint="eastAsia"/>
          <w:kern w:val="0"/>
          <w:sz w:val="28"/>
          <w:szCs w:val="28"/>
        </w:rPr>
        <w:t>、</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DE18AE" w:rsidRDefault="00135135">
      <w:pPr>
        <w:widowControl/>
        <w:shd w:val="clear" w:color="auto" w:fill="FFFFFF"/>
        <w:spacing w:line="500" w:lineRule="exact"/>
        <w:ind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hint="eastAsia"/>
          <w:color w:val="FF0000"/>
          <w:kern w:val="0"/>
          <w:sz w:val="28"/>
          <w:szCs w:val="28"/>
        </w:rPr>
        <w:t>注：投标人应仔细阅读招标文件的所有内容，按要求提供完整的投标文件，并保证全部资料的真实性，以使其投标对招标文件做出实质性响应，否则其投标可能被拒绝</w:t>
      </w:r>
      <w:r>
        <w:rPr>
          <w:rFonts w:asciiTheme="minorEastAsia" w:eastAsiaTheme="minorEastAsia" w:hAnsiTheme="minorEastAsia" w:cs="宋体" w:hint="eastAsia"/>
          <w:color w:val="FF0000"/>
          <w:kern w:val="0"/>
          <w:sz w:val="28"/>
          <w:szCs w:val="28"/>
        </w:rPr>
        <w:t>,</w:t>
      </w:r>
      <w:r>
        <w:rPr>
          <w:rFonts w:asciiTheme="minorEastAsia" w:eastAsiaTheme="minorEastAsia" w:hAnsiTheme="minorEastAsia" w:cs="宋体" w:hint="eastAsia"/>
          <w:color w:val="FF0000"/>
          <w:kern w:val="0"/>
          <w:sz w:val="28"/>
          <w:szCs w:val="28"/>
        </w:rPr>
        <w:t>责任由投标方承担。</w:t>
      </w:r>
      <w:bookmarkStart w:id="1" w:name="_Toc510521050"/>
    </w:p>
    <w:p w:rsidR="00DE18AE" w:rsidRDefault="00DE18AE">
      <w:pPr>
        <w:spacing w:line="340" w:lineRule="exact"/>
        <w:ind w:rightChars="-94" w:right="-197"/>
        <w:rPr>
          <w:rFonts w:asciiTheme="minorEastAsia" w:eastAsiaTheme="minorEastAsia" w:hAnsiTheme="minorEastAsia" w:cs="宋体"/>
          <w:color w:val="FF0000"/>
          <w:kern w:val="0"/>
          <w:sz w:val="28"/>
          <w:szCs w:val="28"/>
        </w:rPr>
        <w:sectPr w:rsidR="00DE18AE">
          <w:pgSz w:w="11906" w:h="16838"/>
          <w:pgMar w:top="1440" w:right="1800" w:bottom="1440" w:left="1800" w:header="851" w:footer="992" w:gutter="0"/>
          <w:cols w:space="720"/>
          <w:docGrid w:type="lines" w:linePitch="312"/>
        </w:sectPr>
      </w:pPr>
    </w:p>
    <w:p w:rsidR="00DE18AE" w:rsidRDefault="00135135">
      <w:pPr>
        <w:pStyle w:val="1"/>
        <w:jc w:val="center"/>
      </w:pPr>
      <w:bookmarkStart w:id="2" w:name="_Toc456291260"/>
      <w:bookmarkStart w:id="3" w:name="_Toc456291280"/>
      <w:bookmarkStart w:id="4" w:name="_Toc456291165"/>
      <w:bookmarkStart w:id="5" w:name="_Toc456291479"/>
      <w:bookmarkStart w:id="6" w:name="_Toc456291537"/>
      <w:bookmarkStart w:id="7" w:name="_Toc462487372"/>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DE18AE" w:rsidRDefault="00DE18AE">
      <w:pPr>
        <w:rPr>
          <w:rFonts w:ascii="宋体" w:hAnsi="宋体"/>
        </w:rPr>
      </w:pPr>
    </w:p>
    <w:p w:rsidR="00DE18AE" w:rsidRDefault="00DE18AE">
      <w:pPr>
        <w:pStyle w:val="40"/>
        <w:jc w:val="center"/>
        <w:rPr>
          <w:rFonts w:ascii="黑体" w:eastAsia="黑体" w:hAnsi="黑体"/>
          <w:b/>
          <w:bCs/>
          <w:sz w:val="44"/>
          <w:szCs w:val="44"/>
        </w:rPr>
      </w:pPr>
    </w:p>
    <w:p w:rsidR="00DE18AE" w:rsidRDefault="00DE18AE">
      <w:pPr>
        <w:pStyle w:val="40"/>
        <w:jc w:val="center"/>
        <w:rPr>
          <w:rFonts w:ascii="黑体" w:eastAsia="黑体" w:hAnsi="黑体"/>
          <w:b/>
          <w:bCs/>
          <w:sz w:val="44"/>
          <w:szCs w:val="44"/>
        </w:rPr>
      </w:pPr>
    </w:p>
    <w:p w:rsidR="00DE18AE" w:rsidRDefault="00DE18AE">
      <w:pPr>
        <w:pStyle w:val="40"/>
        <w:rPr>
          <w:rFonts w:ascii="楷体_GB2312" w:eastAsia="楷体_GB2312"/>
          <w:b/>
          <w:bCs/>
          <w:sz w:val="54"/>
        </w:rPr>
      </w:pPr>
    </w:p>
    <w:p w:rsidR="00DE18AE" w:rsidRDefault="00135135">
      <w:pPr>
        <w:pStyle w:val="40"/>
        <w:jc w:val="center"/>
        <w:rPr>
          <w:rFonts w:ascii="黑体" w:eastAsia="黑体" w:hAnsi="黑体"/>
          <w:b/>
          <w:bCs/>
          <w:sz w:val="88"/>
          <w:szCs w:val="88"/>
        </w:rPr>
      </w:pPr>
      <w:r>
        <w:rPr>
          <w:rFonts w:ascii="黑体" w:eastAsia="黑体" w:hAnsi="黑体" w:hint="eastAsia"/>
          <w:b/>
          <w:bCs/>
          <w:sz w:val="88"/>
          <w:szCs w:val="88"/>
        </w:rPr>
        <w:t>投标文件</w:t>
      </w:r>
    </w:p>
    <w:p w:rsidR="00DE18AE" w:rsidRDefault="00DE18AE">
      <w:pPr>
        <w:pStyle w:val="40"/>
        <w:spacing w:line="500" w:lineRule="exact"/>
        <w:rPr>
          <w:rFonts w:ascii="楷体_GB2312" w:eastAsia="楷体_GB2312"/>
          <w:b/>
          <w:sz w:val="32"/>
          <w:szCs w:val="32"/>
        </w:rPr>
      </w:pPr>
    </w:p>
    <w:p w:rsidR="00DE18AE" w:rsidRDefault="00DE18AE">
      <w:pPr>
        <w:pStyle w:val="40"/>
        <w:spacing w:line="500" w:lineRule="exact"/>
        <w:ind w:firstLineChars="200" w:firstLine="562"/>
        <w:rPr>
          <w:rFonts w:ascii="楷体_GB2312" w:eastAsia="楷体_GB2312"/>
          <w:b/>
          <w:sz w:val="28"/>
        </w:rPr>
      </w:pPr>
    </w:p>
    <w:p w:rsidR="00DE18AE" w:rsidRDefault="00DE18AE">
      <w:pPr>
        <w:pStyle w:val="40"/>
        <w:spacing w:line="500" w:lineRule="exact"/>
        <w:ind w:firstLineChars="200" w:firstLine="560"/>
        <w:rPr>
          <w:rFonts w:ascii="楷体_GB2312" w:eastAsia="楷体_GB2312"/>
          <w:sz w:val="28"/>
        </w:rPr>
      </w:pPr>
    </w:p>
    <w:p w:rsidR="00DE18AE" w:rsidRDefault="00DE18AE">
      <w:pPr>
        <w:pStyle w:val="40"/>
        <w:spacing w:line="500" w:lineRule="exact"/>
        <w:ind w:firstLineChars="200" w:firstLine="560"/>
        <w:rPr>
          <w:rFonts w:ascii="楷体_GB2312" w:eastAsia="楷体_GB2312"/>
          <w:sz w:val="28"/>
        </w:rPr>
      </w:pPr>
    </w:p>
    <w:p w:rsidR="00DE18AE" w:rsidRDefault="00DE18AE">
      <w:pPr>
        <w:pStyle w:val="40"/>
        <w:spacing w:line="500" w:lineRule="exact"/>
        <w:ind w:firstLineChars="200" w:firstLine="560"/>
        <w:rPr>
          <w:rFonts w:ascii="楷体_GB2312" w:eastAsia="楷体_GB2312"/>
          <w:sz w:val="28"/>
        </w:rPr>
      </w:pPr>
    </w:p>
    <w:p w:rsidR="00DE18AE" w:rsidRDefault="00DE18AE">
      <w:pPr>
        <w:pStyle w:val="40"/>
        <w:spacing w:line="500" w:lineRule="exact"/>
        <w:ind w:firstLineChars="200" w:firstLine="560"/>
        <w:rPr>
          <w:rFonts w:ascii="楷体_GB2312" w:eastAsia="楷体_GB2312"/>
          <w:sz w:val="28"/>
        </w:rPr>
      </w:pPr>
    </w:p>
    <w:p w:rsidR="00DE18AE" w:rsidRDefault="00DE18AE">
      <w:pPr>
        <w:pStyle w:val="40"/>
        <w:spacing w:line="500" w:lineRule="exact"/>
        <w:ind w:firstLineChars="200" w:firstLine="560"/>
        <w:rPr>
          <w:rFonts w:ascii="楷体_GB2312" w:eastAsia="楷体_GB2312"/>
          <w:sz w:val="28"/>
        </w:rPr>
      </w:pPr>
    </w:p>
    <w:p w:rsidR="00DE18AE" w:rsidRDefault="00DE18AE">
      <w:pPr>
        <w:pStyle w:val="40"/>
        <w:spacing w:line="500" w:lineRule="exact"/>
        <w:ind w:firstLineChars="200" w:firstLine="560"/>
        <w:rPr>
          <w:rFonts w:ascii="楷体_GB2312" w:eastAsia="楷体_GB2312"/>
          <w:sz w:val="28"/>
        </w:rPr>
      </w:pPr>
    </w:p>
    <w:p w:rsidR="00DE18AE" w:rsidRDefault="00135135">
      <w:pPr>
        <w:pStyle w:val="40"/>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E18AE" w:rsidRDefault="00135135">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E18AE" w:rsidRDefault="00135135">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E18AE" w:rsidRDefault="00135135">
      <w:pPr>
        <w:pStyle w:val="40"/>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E18AE" w:rsidRDefault="00DE18AE">
      <w:pPr>
        <w:ind w:leftChars="-67" w:left="-141" w:rightChars="-94" w:right="-197" w:firstLineChars="200" w:firstLine="883"/>
        <w:jc w:val="center"/>
        <w:rPr>
          <w:rFonts w:ascii="宋体" w:hAnsi="宋体"/>
          <w:b/>
          <w:sz w:val="44"/>
        </w:rPr>
      </w:pPr>
    </w:p>
    <w:p w:rsidR="00DE18AE" w:rsidRDefault="00DE18AE">
      <w:pPr>
        <w:ind w:leftChars="-67" w:left="-141" w:rightChars="-94" w:right="-197" w:firstLineChars="200" w:firstLine="883"/>
        <w:jc w:val="center"/>
        <w:rPr>
          <w:rFonts w:ascii="宋体" w:hAnsi="宋体"/>
          <w:b/>
          <w:sz w:val="44"/>
        </w:rPr>
      </w:pPr>
    </w:p>
    <w:p w:rsidR="00DE18AE" w:rsidRDefault="00DE18AE">
      <w:pPr>
        <w:ind w:leftChars="-67" w:left="-141" w:rightChars="-94" w:right="-197" w:firstLineChars="200" w:firstLine="883"/>
        <w:jc w:val="center"/>
        <w:rPr>
          <w:rFonts w:ascii="宋体" w:hAnsi="宋体"/>
          <w:b/>
          <w:sz w:val="44"/>
        </w:rPr>
      </w:pPr>
    </w:p>
    <w:p w:rsidR="00DE18AE" w:rsidRDefault="00135135">
      <w:pPr>
        <w:spacing w:line="360" w:lineRule="auto"/>
        <w:jc w:val="center"/>
        <w:rPr>
          <w:rFonts w:ascii="宋体" w:hAnsi="宋体"/>
          <w:b/>
          <w:sz w:val="28"/>
        </w:rPr>
      </w:pPr>
      <w:r>
        <w:rPr>
          <w:rFonts w:ascii="宋体" w:hAnsi="宋体" w:hint="eastAsia"/>
          <w:b/>
          <w:sz w:val="28"/>
        </w:rPr>
        <w:lastRenderedPageBreak/>
        <w:t>法定代表人资格证明书</w:t>
      </w:r>
    </w:p>
    <w:p w:rsidR="00DE18AE" w:rsidRDefault="00DE18AE">
      <w:pPr>
        <w:spacing w:line="360" w:lineRule="auto"/>
        <w:rPr>
          <w:rFonts w:ascii="宋体" w:hAnsi="宋体"/>
          <w:sz w:val="24"/>
        </w:rPr>
      </w:pPr>
    </w:p>
    <w:p w:rsidR="00DE18AE" w:rsidRDefault="0013513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E18AE" w:rsidRDefault="0013513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18AE">
        <w:trPr>
          <w:trHeight w:val="2988"/>
        </w:trPr>
        <w:tc>
          <w:tcPr>
            <w:tcW w:w="6804" w:type="dxa"/>
            <w:tcBorders>
              <w:top w:val="single" w:sz="4" w:space="0" w:color="auto"/>
              <w:left w:val="single" w:sz="4" w:space="0" w:color="auto"/>
              <w:bottom w:val="single" w:sz="4" w:space="0" w:color="auto"/>
              <w:right w:val="single" w:sz="4" w:space="0" w:color="auto"/>
            </w:tcBorders>
          </w:tcPr>
          <w:p w:rsidR="00DE18AE" w:rsidRDefault="00DE18AE">
            <w:pPr>
              <w:pStyle w:val="000"/>
              <w:adjustRightInd w:val="0"/>
              <w:snapToGrid w:val="0"/>
              <w:spacing w:line="500" w:lineRule="exact"/>
              <w:jc w:val="center"/>
              <w:rPr>
                <w:rFonts w:ascii="宋体" w:hAnsi="宋体"/>
                <w:szCs w:val="28"/>
              </w:rPr>
            </w:pPr>
          </w:p>
          <w:p w:rsidR="00DE18AE" w:rsidRDefault="0013513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E18AE" w:rsidRDefault="00DE18AE">
            <w:pPr>
              <w:pStyle w:val="000"/>
              <w:adjustRightInd w:val="0"/>
              <w:snapToGrid w:val="0"/>
              <w:spacing w:line="500" w:lineRule="exact"/>
              <w:jc w:val="center"/>
              <w:rPr>
                <w:rFonts w:ascii="宋体" w:hAnsi="宋体"/>
                <w:szCs w:val="28"/>
              </w:rPr>
            </w:pPr>
          </w:p>
        </w:tc>
      </w:tr>
    </w:tbl>
    <w:p w:rsidR="00DE18AE" w:rsidRDefault="00DE18AE">
      <w:pPr>
        <w:pStyle w:val="000"/>
        <w:adjustRightInd w:val="0"/>
        <w:snapToGrid w:val="0"/>
        <w:spacing w:line="500" w:lineRule="exact"/>
        <w:rPr>
          <w:rFonts w:ascii="宋体" w:hAnsi="宋体"/>
          <w:szCs w:val="28"/>
        </w:rPr>
      </w:pP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E18AE" w:rsidRDefault="00135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E18AE" w:rsidRDefault="00DE18AE">
      <w:pPr>
        <w:spacing w:line="360" w:lineRule="auto"/>
        <w:jc w:val="right"/>
        <w:rPr>
          <w:rFonts w:ascii="宋体" w:hAnsi="宋体"/>
          <w:sz w:val="24"/>
        </w:rPr>
      </w:pPr>
    </w:p>
    <w:p w:rsidR="00DE18AE" w:rsidRDefault="0013513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E18AE" w:rsidRDefault="00DE18AE">
      <w:pPr>
        <w:spacing w:line="360" w:lineRule="auto"/>
        <w:jc w:val="right"/>
        <w:rPr>
          <w:rFonts w:ascii="宋体" w:hAnsi="宋体"/>
          <w:sz w:val="24"/>
        </w:rPr>
        <w:sectPr w:rsidR="00DE18AE">
          <w:pgSz w:w="11906" w:h="16838"/>
          <w:pgMar w:top="1440" w:right="1800" w:bottom="1440" w:left="1800" w:header="851" w:footer="992" w:gutter="0"/>
          <w:cols w:space="720"/>
          <w:docGrid w:type="lines" w:linePitch="312"/>
        </w:sectPr>
      </w:pPr>
    </w:p>
    <w:p w:rsidR="00DE18AE" w:rsidRDefault="00135135">
      <w:pPr>
        <w:pStyle w:val="300"/>
      </w:pPr>
      <w:r>
        <w:rPr>
          <w:rFonts w:hint="eastAsia"/>
        </w:rPr>
        <w:lastRenderedPageBreak/>
        <w:t>单位负责人资格证明文件</w:t>
      </w:r>
      <w:r>
        <w:rPr>
          <w:rFonts w:hint="eastAsia"/>
        </w:rPr>
        <w:t xml:space="preserve"> </w:t>
      </w:r>
    </w:p>
    <w:p w:rsidR="00DE18AE" w:rsidRDefault="0013513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18AE" w:rsidRDefault="0013513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DE18AE" w:rsidRDefault="0013513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rsidR="00DE18AE" w:rsidRDefault="0013513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E18AE" w:rsidRDefault="0013513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E18AE" w:rsidRDefault="0013513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E18AE" w:rsidRDefault="0013513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E18AE" w:rsidRDefault="0013513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18AE">
        <w:trPr>
          <w:trHeight w:val="2988"/>
        </w:trPr>
        <w:tc>
          <w:tcPr>
            <w:tcW w:w="6804" w:type="dxa"/>
            <w:tcBorders>
              <w:top w:val="single" w:sz="4" w:space="0" w:color="auto"/>
              <w:left w:val="single" w:sz="4" w:space="0" w:color="auto"/>
              <w:bottom w:val="single" w:sz="4" w:space="0" w:color="auto"/>
              <w:right w:val="single" w:sz="4" w:space="0" w:color="auto"/>
            </w:tcBorders>
          </w:tcPr>
          <w:p w:rsidR="00DE18AE" w:rsidRDefault="00DE18AE">
            <w:pPr>
              <w:pStyle w:val="000"/>
              <w:adjustRightInd w:val="0"/>
              <w:snapToGrid w:val="0"/>
              <w:spacing w:line="500" w:lineRule="exact"/>
              <w:jc w:val="center"/>
              <w:rPr>
                <w:rFonts w:ascii="宋体" w:hAnsi="宋体"/>
                <w:szCs w:val="28"/>
              </w:rPr>
            </w:pPr>
          </w:p>
          <w:p w:rsidR="00DE18AE" w:rsidRDefault="0013513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E18AE" w:rsidRDefault="00DE18AE">
            <w:pPr>
              <w:pStyle w:val="000"/>
              <w:adjustRightInd w:val="0"/>
              <w:snapToGrid w:val="0"/>
              <w:spacing w:line="500" w:lineRule="exact"/>
              <w:jc w:val="center"/>
              <w:rPr>
                <w:rFonts w:ascii="宋体" w:hAnsi="宋体"/>
                <w:szCs w:val="28"/>
              </w:rPr>
            </w:pPr>
          </w:p>
        </w:tc>
      </w:tr>
    </w:tbl>
    <w:p w:rsidR="00DE18AE" w:rsidRDefault="00DE18AE">
      <w:pPr>
        <w:pStyle w:val="000"/>
        <w:adjustRightInd w:val="0"/>
        <w:snapToGrid w:val="0"/>
        <w:spacing w:line="500" w:lineRule="exact"/>
        <w:rPr>
          <w:rFonts w:ascii="宋体" w:hAnsi="宋体"/>
          <w:szCs w:val="28"/>
        </w:rPr>
      </w:pPr>
    </w:p>
    <w:p w:rsidR="00DE18AE" w:rsidRDefault="0013513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E18AE" w:rsidRDefault="0013513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DE18AE" w:rsidRDefault="0013513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E18AE" w:rsidRDefault="00DE18AE">
      <w:pPr>
        <w:spacing w:line="360" w:lineRule="auto"/>
        <w:jc w:val="right"/>
        <w:rPr>
          <w:rFonts w:ascii="宋体" w:hAnsi="宋体"/>
          <w:sz w:val="24"/>
        </w:rPr>
      </w:pPr>
    </w:p>
    <w:p w:rsidR="00DE18AE" w:rsidRDefault="00135135">
      <w:pPr>
        <w:spacing w:line="360" w:lineRule="auto"/>
        <w:jc w:val="center"/>
        <w:rPr>
          <w:rFonts w:ascii="宋体" w:hAnsi="宋体"/>
          <w:b/>
          <w:sz w:val="28"/>
          <w:szCs w:val="28"/>
        </w:rPr>
        <w:sectPr w:rsidR="00DE18A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E18AE" w:rsidRDefault="00135135">
      <w:pPr>
        <w:pStyle w:val="300"/>
      </w:pPr>
      <w:r>
        <w:rPr>
          <w:rFonts w:hint="eastAsia"/>
        </w:rPr>
        <w:lastRenderedPageBreak/>
        <w:t>自然人资格证明文件</w:t>
      </w:r>
      <w:r>
        <w:rPr>
          <w:rFonts w:hint="eastAsia"/>
        </w:rPr>
        <w:t xml:space="preserve"> </w:t>
      </w:r>
    </w:p>
    <w:p w:rsidR="00DE18AE" w:rsidRDefault="0013513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18AE" w:rsidRDefault="0013513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DE18AE" w:rsidRDefault="00135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DE18AE" w:rsidRDefault="00135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E18AE" w:rsidRDefault="00135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E18AE" w:rsidRDefault="00135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E18AE" w:rsidRDefault="00135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E18AE" w:rsidRDefault="0013513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E18AE">
        <w:trPr>
          <w:trHeight w:val="2988"/>
        </w:trPr>
        <w:tc>
          <w:tcPr>
            <w:tcW w:w="6804" w:type="dxa"/>
            <w:tcBorders>
              <w:top w:val="single" w:sz="4" w:space="0" w:color="auto"/>
              <w:left w:val="single" w:sz="4" w:space="0" w:color="auto"/>
              <w:bottom w:val="single" w:sz="4" w:space="0" w:color="auto"/>
              <w:right w:val="single" w:sz="4" w:space="0" w:color="auto"/>
            </w:tcBorders>
          </w:tcPr>
          <w:p w:rsidR="00DE18AE" w:rsidRDefault="00DE18AE">
            <w:pPr>
              <w:pStyle w:val="000"/>
              <w:adjustRightInd w:val="0"/>
              <w:snapToGrid w:val="0"/>
              <w:spacing w:line="500" w:lineRule="exact"/>
              <w:jc w:val="center"/>
              <w:rPr>
                <w:rFonts w:ascii="宋体" w:hAnsi="宋体"/>
                <w:szCs w:val="28"/>
              </w:rPr>
            </w:pPr>
          </w:p>
          <w:p w:rsidR="00DE18AE" w:rsidRDefault="0013513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E18AE" w:rsidRDefault="00DE18AE">
            <w:pPr>
              <w:pStyle w:val="000"/>
              <w:adjustRightInd w:val="0"/>
              <w:snapToGrid w:val="0"/>
              <w:spacing w:line="500" w:lineRule="exact"/>
              <w:jc w:val="center"/>
              <w:rPr>
                <w:rFonts w:ascii="宋体" w:hAnsi="宋体"/>
                <w:szCs w:val="28"/>
              </w:rPr>
            </w:pPr>
          </w:p>
        </w:tc>
      </w:tr>
    </w:tbl>
    <w:p w:rsidR="00DE18AE" w:rsidRDefault="00DE18AE">
      <w:pPr>
        <w:pStyle w:val="000"/>
        <w:adjustRightInd w:val="0"/>
        <w:snapToGrid w:val="0"/>
        <w:spacing w:line="500" w:lineRule="exact"/>
        <w:ind w:left="0" w:firstLine="0"/>
        <w:rPr>
          <w:rFonts w:ascii="宋体" w:hAnsi="宋体"/>
          <w:szCs w:val="28"/>
        </w:rPr>
      </w:pPr>
    </w:p>
    <w:p w:rsidR="00DE18AE" w:rsidRDefault="0013513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E18AE" w:rsidRDefault="0013513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DE18AE" w:rsidRDefault="0013513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E18AE" w:rsidRDefault="00DE18AE">
      <w:pPr>
        <w:pStyle w:val="300"/>
        <w:jc w:val="both"/>
        <w:rPr>
          <w:b w:val="0"/>
        </w:rPr>
      </w:pPr>
    </w:p>
    <w:p w:rsidR="00DE18AE" w:rsidRDefault="00135135">
      <w:pPr>
        <w:pStyle w:val="30"/>
        <w:rPr>
          <w:sz w:val="28"/>
          <w:szCs w:val="28"/>
        </w:rPr>
        <w:sectPr w:rsidR="00DE18A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E18AE" w:rsidRDefault="00135135">
      <w:pPr>
        <w:pStyle w:val="300"/>
      </w:pPr>
      <w:r>
        <w:rPr>
          <w:rFonts w:hint="eastAsia"/>
        </w:rPr>
        <w:lastRenderedPageBreak/>
        <w:t>授权委托书</w:t>
      </w:r>
    </w:p>
    <w:p w:rsidR="00DE18AE" w:rsidRDefault="0013513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18AE" w:rsidRDefault="0013513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E18AE" w:rsidRDefault="0013513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E18AE" w:rsidRDefault="00135135">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E18AE" w:rsidRDefault="0013513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E18AE" w:rsidRDefault="00135135">
      <w:pPr>
        <w:pStyle w:val="000"/>
        <w:spacing w:before="0" w:after="0" w:line="240" w:lineRule="auto"/>
        <w:ind w:left="0" w:firstLine="0"/>
        <w:rPr>
          <w:rFonts w:ascii="宋体" w:hAnsi="宋体"/>
          <w:szCs w:val="28"/>
        </w:rPr>
      </w:pPr>
      <w:r>
        <w:rPr>
          <w:rFonts w:ascii="宋体" w:hAnsi="宋体" w:hint="eastAsia"/>
          <w:szCs w:val="28"/>
        </w:rPr>
        <w:t>附：</w:t>
      </w:r>
    </w:p>
    <w:p w:rsidR="00DE18AE" w:rsidRDefault="0013513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E18AE" w:rsidRDefault="0013513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E18AE">
        <w:trPr>
          <w:trHeight w:val="3862"/>
        </w:trPr>
        <w:tc>
          <w:tcPr>
            <w:tcW w:w="7663" w:type="dxa"/>
            <w:tcBorders>
              <w:top w:val="single" w:sz="4" w:space="0" w:color="auto"/>
              <w:left w:val="single" w:sz="4" w:space="0" w:color="auto"/>
              <w:bottom w:val="single" w:sz="4" w:space="0" w:color="auto"/>
              <w:right w:val="single" w:sz="4" w:space="0" w:color="auto"/>
            </w:tcBorders>
          </w:tcPr>
          <w:p w:rsidR="00DE18AE" w:rsidRDefault="00135135">
            <w:pPr>
              <w:pStyle w:val="000"/>
              <w:spacing w:line="500" w:lineRule="exact"/>
              <w:rPr>
                <w:rFonts w:ascii="宋体" w:hAnsi="宋体"/>
                <w:szCs w:val="28"/>
              </w:rPr>
            </w:pPr>
            <w:r>
              <w:rPr>
                <w:rFonts w:ascii="宋体" w:hAnsi="宋体" w:hint="eastAsia"/>
                <w:szCs w:val="28"/>
              </w:rPr>
              <w:t>粘贴被授权人身份证（扫描件）</w:t>
            </w:r>
          </w:p>
          <w:p w:rsidR="00DE18AE" w:rsidRDefault="00DE18AE">
            <w:pPr>
              <w:pStyle w:val="000"/>
              <w:spacing w:line="500" w:lineRule="exact"/>
              <w:rPr>
                <w:rFonts w:ascii="宋体" w:hAnsi="宋体"/>
                <w:szCs w:val="28"/>
              </w:rPr>
            </w:pPr>
          </w:p>
        </w:tc>
      </w:tr>
    </w:tbl>
    <w:p w:rsidR="00DE18AE" w:rsidRDefault="00135135">
      <w:pPr>
        <w:pStyle w:val="30"/>
        <w:rPr>
          <w:sz w:val="28"/>
          <w:szCs w:val="28"/>
        </w:rPr>
        <w:sectPr w:rsidR="00DE18A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E18AE" w:rsidRDefault="00135135">
      <w:pPr>
        <w:jc w:val="center"/>
        <w:rPr>
          <w:rFonts w:ascii="宋体" w:hAnsi="宋体"/>
          <w:b/>
          <w:sz w:val="36"/>
          <w:szCs w:val="28"/>
        </w:rPr>
      </w:pPr>
      <w:r>
        <w:rPr>
          <w:rFonts w:ascii="宋体" w:hAnsi="宋体"/>
          <w:b/>
          <w:bCs/>
          <w:sz w:val="36"/>
          <w:szCs w:val="28"/>
        </w:rPr>
        <w:lastRenderedPageBreak/>
        <w:t>承诺函</w:t>
      </w:r>
    </w:p>
    <w:p w:rsidR="00DE18AE" w:rsidRDefault="00DE18AE">
      <w:pPr>
        <w:jc w:val="center"/>
        <w:rPr>
          <w:rFonts w:ascii="宋体" w:hAnsi="宋体"/>
          <w:b/>
          <w:sz w:val="28"/>
          <w:szCs w:val="28"/>
        </w:rPr>
      </w:pPr>
    </w:p>
    <w:p w:rsidR="00DE18AE" w:rsidRDefault="0013513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DE18AE" w:rsidRDefault="0013513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DE18AE" w:rsidRDefault="0013513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DE18AE" w:rsidRDefault="0013513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DE18AE" w:rsidRDefault="00DE18AE">
      <w:pPr>
        <w:tabs>
          <w:tab w:val="left" w:pos="854"/>
        </w:tabs>
        <w:spacing w:line="360" w:lineRule="auto"/>
        <w:rPr>
          <w:rFonts w:ascii="宋体" w:hAnsi="宋体"/>
          <w:bCs/>
          <w:sz w:val="28"/>
          <w:szCs w:val="28"/>
        </w:rPr>
      </w:pPr>
    </w:p>
    <w:p w:rsidR="00DE18AE" w:rsidRDefault="00DE18AE">
      <w:pPr>
        <w:tabs>
          <w:tab w:val="left" w:pos="854"/>
        </w:tabs>
        <w:spacing w:line="360" w:lineRule="auto"/>
        <w:rPr>
          <w:rFonts w:ascii="宋体" w:hAnsi="宋体"/>
          <w:bCs/>
          <w:sz w:val="28"/>
          <w:szCs w:val="28"/>
        </w:rPr>
      </w:pPr>
    </w:p>
    <w:p w:rsidR="00DE18AE" w:rsidRDefault="00135135">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DE18AE" w:rsidRDefault="00DE18AE">
      <w:pPr>
        <w:spacing w:line="500" w:lineRule="exact"/>
        <w:ind w:firstLine="720"/>
        <w:rPr>
          <w:rFonts w:ascii="宋体" w:hAnsi="宋体"/>
          <w:kern w:val="0"/>
          <w:sz w:val="28"/>
          <w:szCs w:val="28"/>
        </w:rPr>
      </w:pPr>
    </w:p>
    <w:p w:rsidR="00DE18AE" w:rsidRDefault="00135135">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DE18AE" w:rsidRDefault="00DE18AE">
      <w:pPr>
        <w:pStyle w:val="000"/>
        <w:spacing w:before="0" w:after="0" w:line="240" w:lineRule="auto"/>
        <w:ind w:left="1070" w:hangingChars="382" w:hanging="1070"/>
        <w:jc w:val="left"/>
        <w:rPr>
          <w:rFonts w:ascii="宋体" w:hAnsi="宋体"/>
          <w:kern w:val="0"/>
          <w:szCs w:val="28"/>
        </w:rPr>
      </w:pPr>
    </w:p>
    <w:p w:rsidR="00DE18AE" w:rsidRDefault="00135135">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DE18AE" w:rsidRDefault="00DE18AE">
      <w:pPr>
        <w:pStyle w:val="30"/>
        <w:rPr>
          <w:sz w:val="28"/>
          <w:szCs w:val="28"/>
        </w:rPr>
      </w:pPr>
    </w:p>
    <w:p w:rsidR="00DE18AE" w:rsidRDefault="00DE18AE">
      <w:pPr>
        <w:pStyle w:val="2"/>
        <w:spacing w:before="780"/>
        <w:jc w:val="center"/>
        <w:rPr>
          <w:rFonts w:asciiTheme="minorEastAsia" w:eastAsiaTheme="minorEastAsia" w:hAnsiTheme="minorEastAsia"/>
          <w:sz w:val="28"/>
          <w:szCs w:val="28"/>
        </w:rPr>
      </w:pPr>
    </w:p>
    <w:sectPr w:rsidR="00DE18A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135" w:rsidRDefault="00135135">
      <w:r>
        <w:separator/>
      </w:r>
    </w:p>
  </w:endnote>
  <w:endnote w:type="continuationSeparator" w:id="0">
    <w:p w:rsidR="00135135" w:rsidRDefault="0013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AE" w:rsidRDefault="0013513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18AE" w:rsidRDefault="00135135">
                          <w:pPr>
                            <w:pStyle w:val="a6"/>
                          </w:pPr>
                          <w:r>
                            <w:rPr>
                              <w:rFonts w:hint="eastAsia"/>
                            </w:rPr>
                            <w:fldChar w:fldCharType="begin"/>
                          </w:r>
                          <w:r>
                            <w:rPr>
                              <w:rFonts w:hint="eastAsia"/>
                            </w:rPr>
                            <w:instrText xml:space="preserve"> PAGE  \* MERGEFORMAT </w:instrText>
                          </w:r>
                          <w:r>
                            <w:rPr>
                              <w:rFonts w:hint="eastAsia"/>
                            </w:rPr>
                            <w:fldChar w:fldCharType="separate"/>
                          </w:r>
                          <w:r w:rsidR="00273780">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E18AE" w:rsidRDefault="00135135">
                    <w:pPr>
                      <w:pStyle w:val="a6"/>
                    </w:pPr>
                    <w:r>
                      <w:rPr>
                        <w:rFonts w:hint="eastAsia"/>
                      </w:rPr>
                      <w:fldChar w:fldCharType="begin"/>
                    </w:r>
                    <w:r>
                      <w:rPr>
                        <w:rFonts w:hint="eastAsia"/>
                      </w:rPr>
                      <w:instrText xml:space="preserve"> PAGE  \* MERGEFORMAT </w:instrText>
                    </w:r>
                    <w:r>
                      <w:rPr>
                        <w:rFonts w:hint="eastAsia"/>
                      </w:rPr>
                      <w:fldChar w:fldCharType="separate"/>
                    </w:r>
                    <w:r w:rsidR="00273780">
                      <w:rPr>
                        <w:noProof/>
                      </w:rPr>
                      <w:t>26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135" w:rsidRDefault="00135135">
      <w:r>
        <w:separator/>
      </w:r>
    </w:p>
  </w:footnote>
  <w:footnote w:type="continuationSeparator" w:id="0">
    <w:p w:rsidR="00135135" w:rsidRDefault="00135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D2A5"/>
    <w:multiLevelType w:val="singleLevel"/>
    <w:tmpl w:val="0E5BD2A5"/>
    <w:lvl w:ilvl="0">
      <w:start w:val="1"/>
      <w:numFmt w:val="chineseCounting"/>
      <w:suff w:val="nothing"/>
      <w:lvlText w:val="（%1）"/>
      <w:lvlJc w:val="left"/>
      <w:rPr>
        <w:rFonts w:hint="eastAsia"/>
      </w:rPr>
    </w:lvl>
  </w:abstractNum>
  <w:abstractNum w:abstractNumId="1">
    <w:nsid w:val="17D04C51"/>
    <w:multiLevelType w:val="multilevel"/>
    <w:tmpl w:val="17D04C51"/>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8A93FDA"/>
    <w:multiLevelType w:val="multilevel"/>
    <w:tmpl w:val="18A93FD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19853610"/>
    <w:multiLevelType w:val="multilevel"/>
    <w:tmpl w:val="1985361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1AEF023D"/>
    <w:multiLevelType w:val="multilevel"/>
    <w:tmpl w:val="1AEF023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1EAC714A"/>
    <w:multiLevelType w:val="multilevel"/>
    <w:tmpl w:val="1EAC714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2BB74D2C"/>
    <w:multiLevelType w:val="multilevel"/>
    <w:tmpl w:val="2BB74D2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4737402A"/>
    <w:multiLevelType w:val="multilevel"/>
    <w:tmpl w:val="4737402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4CDD119F"/>
    <w:multiLevelType w:val="multilevel"/>
    <w:tmpl w:val="4CDD119F"/>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6420745E"/>
    <w:multiLevelType w:val="multilevel"/>
    <w:tmpl w:val="6420745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OTc3ZGNmYTdmYjFkNThlNmFmODBhOGNlMTViZjgifQ=="/>
  </w:docVars>
  <w:rsids>
    <w:rsidRoot w:val="00D3588F"/>
    <w:rsid w:val="00002DB5"/>
    <w:rsid w:val="00007904"/>
    <w:rsid w:val="00022937"/>
    <w:rsid w:val="00024206"/>
    <w:rsid w:val="00026A09"/>
    <w:rsid w:val="000276BE"/>
    <w:rsid w:val="00036754"/>
    <w:rsid w:val="0004016B"/>
    <w:rsid w:val="00045656"/>
    <w:rsid w:val="000475BD"/>
    <w:rsid w:val="00051A54"/>
    <w:rsid w:val="00065785"/>
    <w:rsid w:val="00074904"/>
    <w:rsid w:val="000762AC"/>
    <w:rsid w:val="00080219"/>
    <w:rsid w:val="00083925"/>
    <w:rsid w:val="000847B2"/>
    <w:rsid w:val="0008739B"/>
    <w:rsid w:val="00096834"/>
    <w:rsid w:val="000A76EB"/>
    <w:rsid w:val="000B3D35"/>
    <w:rsid w:val="000B43F2"/>
    <w:rsid w:val="000C307B"/>
    <w:rsid w:val="000C6D45"/>
    <w:rsid w:val="000C7E59"/>
    <w:rsid w:val="000E1758"/>
    <w:rsid w:val="000E3314"/>
    <w:rsid w:val="000E3D39"/>
    <w:rsid w:val="000F095F"/>
    <w:rsid w:val="000F1370"/>
    <w:rsid w:val="000F47C5"/>
    <w:rsid w:val="001153D5"/>
    <w:rsid w:val="00116FC5"/>
    <w:rsid w:val="001249D2"/>
    <w:rsid w:val="00125F97"/>
    <w:rsid w:val="00127E31"/>
    <w:rsid w:val="0013281D"/>
    <w:rsid w:val="00135135"/>
    <w:rsid w:val="001539FE"/>
    <w:rsid w:val="001546ED"/>
    <w:rsid w:val="00162024"/>
    <w:rsid w:val="001836E3"/>
    <w:rsid w:val="001852E7"/>
    <w:rsid w:val="001A6270"/>
    <w:rsid w:val="001B1AFC"/>
    <w:rsid w:val="001C342D"/>
    <w:rsid w:val="001C3574"/>
    <w:rsid w:val="001C511C"/>
    <w:rsid w:val="001C5EE8"/>
    <w:rsid w:val="001C5F3C"/>
    <w:rsid w:val="001D682D"/>
    <w:rsid w:val="001E7226"/>
    <w:rsid w:val="001F1AD5"/>
    <w:rsid w:val="001F4223"/>
    <w:rsid w:val="00204CD6"/>
    <w:rsid w:val="00210978"/>
    <w:rsid w:val="002204AF"/>
    <w:rsid w:val="00224451"/>
    <w:rsid w:val="00224DA7"/>
    <w:rsid w:val="002659CC"/>
    <w:rsid w:val="00267A5F"/>
    <w:rsid w:val="00273780"/>
    <w:rsid w:val="00274D4A"/>
    <w:rsid w:val="00277EF7"/>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3F8B"/>
    <w:rsid w:val="00301986"/>
    <w:rsid w:val="00301DE8"/>
    <w:rsid w:val="00306D33"/>
    <w:rsid w:val="00311434"/>
    <w:rsid w:val="00311489"/>
    <w:rsid w:val="00312F37"/>
    <w:rsid w:val="00317A7D"/>
    <w:rsid w:val="00326254"/>
    <w:rsid w:val="00332C96"/>
    <w:rsid w:val="00334330"/>
    <w:rsid w:val="00343F61"/>
    <w:rsid w:val="0034516F"/>
    <w:rsid w:val="003500BB"/>
    <w:rsid w:val="00350C0A"/>
    <w:rsid w:val="003514F5"/>
    <w:rsid w:val="00355E95"/>
    <w:rsid w:val="0036316C"/>
    <w:rsid w:val="003678FB"/>
    <w:rsid w:val="00372EEC"/>
    <w:rsid w:val="003771B9"/>
    <w:rsid w:val="003849CB"/>
    <w:rsid w:val="00386D5E"/>
    <w:rsid w:val="00390E30"/>
    <w:rsid w:val="00394CBD"/>
    <w:rsid w:val="0039537B"/>
    <w:rsid w:val="003B084E"/>
    <w:rsid w:val="003C0B70"/>
    <w:rsid w:val="003C23B2"/>
    <w:rsid w:val="003C4BF6"/>
    <w:rsid w:val="003C5551"/>
    <w:rsid w:val="003D34D8"/>
    <w:rsid w:val="003D3C14"/>
    <w:rsid w:val="003D5E50"/>
    <w:rsid w:val="003E374C"/>
    <w:rsid w:val="003E41C7"/>
    <w:rsid w:val="003E582E"/>
    <w:rsid w:val="003E6722"/>
    <w:rsid w:val="003F0358"/>
    <w:rsid w:val="00401E67"/>
    <w:rsid w:val="00412907"/>
    <w:rsid w:val="00421514"/>
    <w:rsid w:val="00424AFD"/>
    <w:rsid w:val="00425C82"/>
    <w:rsid w:val="004303FC"/>
    <w:rsid w:val="00431633"/>
    <w:rsid w:val="0043557A"/>
    <w:rsid w:val="00440AB7"/>
    <w:rsid w:val="00446638"/>
    <w:rsid w:val="00453CDC"/>
    <w:rsid w:val="00474384"/>
    <w:rsid w:val="00486EB5"/>
    <w:rsid w:val="00492E11"/>
    <w:rsid w:val="004A4255"/>
    <w:rsid w:val="004B272B"/>
    <w:rsid w:val="004B5D3D"/>
    <w:rsid w:val="004C4E45"/>
    <w:rsid w:val="004C7459"/>
    <w:rsid w:val="004D2357"/>
    <w:rsid w:val="004D2F37"/>
    <w:rsid w:val="004D43F7"/>
    <w:rsid w:val="004D59EA"/>
    <w:rsid w:val="004E5CC9"/>
    <w:rsid w:val="00503601"/>
    <w:rsid w:val="005201F9"/>
    <w:rsid w:val="00521CC1"/>
    <w:rsid w:val="0052240D"/>
    <w:rsid w:val="00525DA0"/>
    <w:rsid w:val="0052644F"/>
    <w:rsid w:val="005455AF"/>
    <w:rsid w:val="0055245D"/>
    <w:rsid w:val="00564A6B"/>
    <w:rsid w:val="0056741D"/>
    <w:rsid w:val="00573DED"/>
    <w:rsid w:val="00575161"/>
    <w:rsid w:val="00586638"/>
    <w:rsid w:val="005A3835"/>
    <w:rsid w:val="005A466E"/>
    <w:rsid w:val="005B302D"/>
    <w:rsid w:val="005B69C3"/>
    <w:rsid w:val="005B7B08"/>
    <w:rsid w:val="005C0FA3"/>
    <w:rsid w:val="005D7706"/>
    <w:rsid w:val="005E60EF"/>
    <w:rsid w:val="005F1DE4"/>
    <w:rsid w:val="005F4601"/>
    <w:rsid w:val="00601A2A"/>
    <w:rsid w:val="00605EDC"/>
    <w:rsid w:val="006212AD"/>
    <w:rsid w:val="006300B6"/>
    <w:rsid w:val="00644CE6"/>
    <w:rsid w:val="00645B11"/>
    <w:rsid w:val="00661044"/>
    <w:rsid w:val="00672A37"/>
    <w:rsid w:val="00673FC6"/>
    <w:rsid w:val="00677864"/>
    <w:rsid w:val="00682114"/>
    <w:rsid w:val="006864CE"/>
    <w:rsid w:val="00687A6E"/>
    <w:rsid w:val="00687C5C"/>
    <w:rsid w:val="006936DD"/>
    <w:rsid w:val="00694DF5"/>
    <w:rsid w:val="006A466A"/>
    <w:rsid w:val="006A642F"/>
    <w:rsid w:val="006C50FE"/>
    <w:rsid w:val="006D52F7"/>
    <w:rsid w:val="006E2353"/>
    <w:rsid w:val="006E5E11"/>
    <w:rsid w:val="006F3535"/>
    <w:rsid w:val="00713E8E"/>
    <w:rsid w:val="007211CD"/>
    <w:rsid w:val="0072252E"/>
    <w:rsid w:val="007238B1"/>
    <w:rsid w:val="00723FB9"/>
    <w:rsid w:val="007326E7"/>
    <w:rsid w:val="007333C3"/>
    <w:rsid w:val="007418F7"/>
    <w:rsid w:val="007532EA"/>
    <w:rsid w:val="00754A1F"/>
    <w:rsid w:val="00756110"/>
    <w:rsid w:val="007645D1"/>
    <w:rsid w:val="00775DAB"/>
    <w:rsid w:val="00785E4E"/>
    <w:rsid w:val="00787212"/>
    <w:rsid w:val="0079554E"/>
    <w:rsid w:val="007C614F"/>
    <w:rsid w:val="007C70E7"/>
    <w:rsid w:val="007D4651"/>
    <w:rsid w:val="007D49B3"/>
    <w:rsid w:val="007D6174"/>
    <w:rsid w:val="007E6599"/>
    <w:rsid w:val="007F5628"/>
    <w:rsid w:val="0080152A"/>
    <w:rsid w:val="0081063F"/>
    <w:rsid w:val="00813B0B"/>
    <w:rsid w:val="00813D84"/>
    <w:rsid w:val="008167FA"/>
    <w:rsid w:val="008175AA"/>
    <w:rsid w:val="00830026"/>
    <w:rsid w:val="00832AA4"/>
    <w:rsid w:val="008459F7"/>
    <w:rsid w:val="00846E6E"/>
    <w:rsid w:val="0086006D"/>
    <w:rsid w:val="00865443"/>
    <w:rsid w:val="0086621B"/>
    <w:rsid w:val="00875B16"/>
    <w:rsid w:val="00880131"/>
    <w:rsid w:val="00890969"/>
    <w:rsid w:val="008913E7"/>
    <w:rsid w:val="00892EBF"/>
    <w:rsid w:val="008A10DF"/>
    <w:rsid w:val="008A21B7"/>
    <w:rsid w:val="008B6F61"/>
    <w:rsid w:val="008B7F4D"/>
    <w:rsid w:val="008C2795"/>
    <w:rsid w:val="008C6180"/>
    <w:rsid w:val="008C6D72"/>
    <w:rsid w:val="00903484"/>
    <w:rsid w:val="00914444"/>
    <w:rsid w:val="00923B43"/>
    <w:rsid w:val="00923C7B"/>
    <w:rsid w:val="009309C0"/>
    <w:rsid w:val="009379AB"/>
    <w:rsid w:val="00942F40"/>
    <w:rsid w:val="0094776F"/>
    <w:rsid w:val="00957A82"/>
    <w:rsid w:val="00961FF6"/>
    <w:rsid w:val="009730BC"/>
    <w:rsid w:val="00974385"/>
    <w:rsid w:val="009766A2"/>
    <w:rsid w:val="009772A8"/>
    <w:rsid w:val="009818DC"/>
    <w:rsid w:val="009B5DBC"/>
    <w:rsid w:val="009B7FB3"/>
    <w:rsid w:val="009C3C8B"/>
    <w:rsid w:val="009D170E"/>
    <w:rsid w:val="009F0ABA"/>
    <w:rsid w:val="009F3289"/>
    <w:rsid w:val="009F32C8"/>
    <w:rsid w:val="009F4BB8"/>
    <w:rsid w:val="009F50C2"/>
    <w:rsid w:val="009F59F0"/>
    <w:rsid w:val="009F77E6"/>
    <w:rsid w:val="00A24CC5"/>
    <w:rsid w:val="00A6456E"/>
    <w:rsid w:val="00A67374"/>
    <w:rsid w:val="00A7195B"/>
    <w:rsid w:val="00A7245A"/>
    <w:rsid w:val="00A757F9"/>
    <w:rsid w:val="00A767D5"/>
    <w:rsid w:val="00A80BB4"/>
    <w:rsid w:val="00A91741"/>
    <w:rsid w:val="00AB2189"/>
    <w:rsid w:val="00AB2203"/>
    <w:rsid w:val="00AB51EA"/>
    <w:rsid w:val="00AC1363"/>
    <w:rsid w:val="00AC2D71"/>
    <w:rsid w:val="00AC3DA6"/>
    <w:rsid w:val="00AC6E4C"/>
    <w:rsid w:val="00AC7115"/>
    <w:rsid w:val="00AD2C0A"/>
    <w:rsid w:val="00AD4795"/>
    <w:rsid w:val="00AD7B16"/>
    <w:rsid w:val="00AF3791"/>
    <w:rsid w:val="00B00546"/>
    <w:rsid w:val="00B13AE6"/>
    <w:rsid w:val="00B14634"/>
    <w:rsid w:val="00B25174"/>
    <w:rsid w:val="00B26B6F"/>
    <w:rsid w:val="00B32179"/>
    <w:rsid w:val="00B34EC3"/>
    <w:rsid w:val="00B351DC"/>
    <w:rsid w:val="00B4611C"/>
    <w:rsid w:val="00B47379"/>
    <w:rsid w:val="00B473C1"/>
    <w:rsid w:val="00B54BAA"/>
    <w:rsid w:val="00B935A2"/>
    <w:rsid w:val="00B95FB1"/>
    <w:rsid w:val="00BA0A7E"/>
    <w:rsid w:val="00BA1976"/>
    <w:rsid w:val="00BA3621"/>
    <w:rsid w:val="00BA6F69"/>
    <w:rsid w:val="00BD07F4"/>
    <w:rsid w:val="00BD48D8"/>
    <w:rsid w:val="00BE7F3F"/>
    <w:rsid w:val="00BF46E7"/>
    <w:rsid w:val="00C03F2B"/>
    <w:rsid w:val="00C1028D"/>
    <w:rsid w:val="00C174E9"/>
    <w:rsid w:val="00C23175"/>
    <w:rsid w:val="00C25604"/>
    <w:rsid w:val="00C260D0"/>
    <w:rsid w:val="00C309F7"/>
    <w:rsid w:val="00C35E6F"/>
    <w:rsid w:val="00C37198"/>
    <w:rsid w:val="00C40604"/>
    <w:rsid w:val="00C60BD0"/>
    <w:rsid w:val="00C70B90"/>
    <w:rsid w:val="00C755D3"/>
    <w:rsid w:val="00C82236"/>
    <w:rsid w:val="00C8699A"/>
    <w:rsid w:val="00C94673"/>
    <w:rsid w:val="00C94A4B"/>
    <w:rsid w:val="00C96707"/>
    <w:rsid w:val="00CA6671"/>
    <w:rsid w:val="00CB3480"/>
    <w:rsid w:val="00CD20BD"/>
    <w:rsid w:val="00CD321B"/>
    <w:rsid w:val="00CD75B4"/>
    <w:rsid w:val="00CE10E5"/>
    <w:rsid w:val="00CF6B2D"/>
    <w:rsid w:val="00D01EEA"/>
    <w:rsid w:val="00D044E9"/>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908E7"/>
    <w:rsid w:val="00D964D1"/>
    <w:rsid w:val="00D96D1C"/>
    <w:rsid w:val="00DA29FD"/>
    <w:rsid w:val="00DA7317"/>
    <w:rsid w:val="00DA748F"/>
    <w:rsid w:val="00DB2674"/>
    <w:rsid w:val="00DB43FA"/>
    <w:rsid w:val="00DB59A6"/>
    <w:rsid w:val="00DC3953"/>
    <w:rsid w:val="00DC654F"/>
    <w:rsid w:val="00DE18AE"/>
    <w:rsid w:val="00DE44FF"/>
    <w:rsid w:val="00DE46B5"/>
    <w:rsid w:val="00DE6E95"/>
    <w:rsid w:val="00DF328A"/>
    <w:rsid w:val="00E11A26"/>
    <w:rsid w:val="00E12CB9"/>
    <w:rsid w:val="00E253DE"/>
    <w:rsid w:val="00E25BB4"/>
    <w:rsid w:val="00E31918"/>
    <w:rsid w:val="00E36F05"/>
    <w:rsid w:val="00E44DE9"/>
    <w:rsid w:val="00E44F82"/>
    <w:rsid w:val="00E50BF9"/>
    <w:rsid w:val="00E648DA"/>
    <w:rsid w:val="00E8178E"/>
    <w:rsid w:val="00EC0674"/>
    <w:rsid w:val="00EC6C82"/>
    <w:rsid w:val="00ED0C25"/>
    <w:rsid w:val="00EE4D44"/>
    <w:rsid w:val="00EF0F47"/>
    <w:rsid w:val="00EF52B6"/>
    <w:rsid w:val="00EF65AE"/>
    <w:rsid w:val="00EF7B8A"/>
    <w:rsid w:val="00F01B0C"/>
    <w:rsid w:val="00F05662"/>
    <w:rsid w:val="00F12EE2"/>
    <w:rsid w:val="00F134B8"/>
    <w:rsid w:val="00F13956"/>
    <w:rsid w:val="00F2103B"/>
    <w:rsid w:val="00F21B75"/>
    <w:rsid w:val="00F330CE"/>
    <w:rsid w:val="00F352A4"/>
    <w:rsid w:val="00F50553"/>
    <w:rsid w:val="00F515F1"/>
    <w:rsid w:val="00F51FBD"/>
    <w:rsid w:val="00F55C33"/>
    <w:rsid w:val="00F70BA8"/>
    <w:rsid w:val="00F74FCF"/>
    <w:rsid w:val="00F77276"/>
    <w:rsid w:val="00F77DEC"/>
    <w:rsid w:val="00F80E50"/>
    <w:rsid w:val="00F87994"/>
    <w:rsid w:val="00F879C4"/>
    <w:rsid w:val="00FA363C"/>
    <w:rsid w:val="00FB6AA0"/>
    <w:rsid w:val="00FC015B"/>
    <w:rsid w:val="00FD747B"/>
    <w:rsid w:val="00FF38A0"/>
    <w:rsid w:val="0899621D"/>
    <w:rsid w:val="0DF76096"/>
    <w:rsid w:val="14F83EE0"/>
    <w:rsid w:val="16B63D21"/>
    <w:rsid w:val="171605E5"/>
    <w:rsid w:val="1CB71CD6"/>
    <w:rsid w:val="1DB910DC"/>
    <w:rsid w:val="2EA02B61"/>
    <w:rsid w:val="336A12FE"/>
    <w:rsid w:val="3AED26CB"/>
    <w:rsid w:val="3CB10ED2"/>
    <w:rsid w:val="3E727E4C"/>
    <w:rsid w:val="49213EA9"/>
    <w:rsid w:val="4DAF4117"/>
    <w:rsid w:val="514D2688"/>
    <w:rsid w:val="61BC1CAE"/>
    <w:rsid w:val="6C4659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761815-0D48-4FAE-8F6F-5944065E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uiPriority="9"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uiPriority w:val="9"/>
    <w:unhideWhenUsed/>
    <w:qFormat/>
    <w:locked/>
    <w:pPr>
      <w:spacing w:afterLines="150" w:line="360" w:lineRule="auto"/>
      <w:jc w:val="center"/>
      <w:outlineLvl w:val="2"/>
    </w:pPr>
    <w:rPr>
      <w:rFonts w:ascii="宋体" w:hAnsi="宋体" w:cs="Arial-BoldMT"/>
      <w:b/>
      <w:bCs/>
      <w:sz w:val="24"/>
    </w:rPr>
  </w:style>
  <w:style w:type="paragraph" w:styleId="4">
    <w:name w:val="heading 4"/>
    <w:basedOn w:val="a"/>
    <w:next w:val="a"/>
    <w:unhideWhenUsed/>
    <w:qFormat/>
    <w:locked/>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locked/>
    <w:pPr>
      <w:spacing w:before="240" w:after="60"/>
      <w:jc w:val="center"/>
      <w:outlineLvl w:val="0"/>
    </w:pPr>
    <w:rPr>
      <w:rFonts w:ascii="Arial" w:hAnsi="Arial"/>
      <w:b/>
      <w:sz w:val="32"/>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NEW">
    <w:name w:val="NEW"/>
    <w:basedOn w:val="a0"/>
    <w:qFormat/>
    <w:rPr>
      <w:rFonts w:ascii="Times New Roman" w:hAnsi="Times New Roman"/>
      <w:sz w:val="32"/>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0">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character" w:customStyle="1" w:styleId="Char">
    <w:name w:val="批注文字 Char"/>
    <w:link w:val="a3"/>
    <w:uiPriority w:val="99"/>
    <w:qFormat/>
    <w:rPr>
      <w:kern w:val="2"/>
      <w:sz w:val="21"/>
      <w:szCs w:val="21"/>
    </w:rPr>
  </w:style>
  <w:style w:type="paragraph" w:customStyle="1" w:styleId="41">
    <w:name w:val="4级标题"/>
    <w:basedOn w:val="10"/>
    <w:qFormat/>
    <w:pPr>
      <w:keepLines/>
      <w:spacing w:line="360" w:lineRule="auto"/>
      <w:ind w:left="284" w:firstLineChars="0" w:firstLine="0"/>
      <w:contextualSpacing/>
      <w:outlineLvl w:val="3"/>
    </w:pPr>
    <w:rPr>
      <w:rFonts w:ascii="黑体" w:hAnsi="黑体"/>
      <w:sz w:val="24"/>
      <w:szCs w:val="24"/>
      <w:lang w:eastAsia="en-US" w:bidi="en-US"/>
    </w:rPr>
  </w:style>
  <w:style w:type="paragraph" w:customStyle="1" w:styleId="10">
    <w:name w:val="列出段落1"/>
    <w:basedOn w:val="a"/>
    <w:uiPriority w:val="34"/>
    <w:qFormat/>
    <w:pPr>
      <w:ind w:firstLineChars="200" w:firstLine="420"/>
    </w:pPr>
    <w:rPr>
      <w:szCs w:val="22"/>
    </w:rPr>
  </w:style>
  <w:style w:type="paragraph" w:customStyle="1" w:styleId="11">
    <w:name w:val="样式1"/>
    <w:basedOn w:val="a9"/>
    <w:next w:val="a"/>
    <w:qFormat/>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8692B-ED80-4D53-968C-AC6CC115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2379</Words>
  <Characters>13564</Characters>
  <Application>Microsoft Office Word</Application>
  <DocSecurity>0</DocSecurity>
  <Lines>113</Lines>
  <Paragraphs>31</Paragraphs>
  <ScaleCrop>false</ScaleCrop>
  <Company>Microsoft</Company>
  <LinksUpToDate>false</LinksUpToDate>
  <CharactersWithSpaces>15912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AutoBVT</cp:lastModifiedBy>
  <cp:revision>3</cp:revision>
  <cp:lastPrinted>2019-04-30T02:04:00Z</cp:lastPrinted>
  <dcterms:created xsi:type="dcterms:W3CDTF">2019-03-28T14:02:00Z</dcterms:created>
  <dcterms:modified xsi:type="dcterms:W3CDTF">2023-07-17T03:29:00Z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5E1FF82AA99C495EBF3139ABD6053C8C</vt:lpwstr>
  </property>
</Properties>
</file>