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2023年</w:t>
      </w:r>
      <w:r>
        <w:rPr>
          <w:rFonts w:hint="eastAsia" w:asciiTheme="minorEastAsia" w:hAnsiTheme="minorEastAsia" w:eastAsiaTheme="minorEastAsia"/>
          <w:sz w:val="28"/>
          <w:szCs w:val="28"/>
          <w:highlight w:val="none"/>
          <w:lang w:val="en-US" w:eastAsia="zh-CN"/>
        </w:rPr>
        <w:t>医院</w:t>
      </w:r>
      <w:r>
        <w:rPr>
          <w:rFonts w:hint="eastAsia" w:asciiTheme="minorEastAsia" w:hAnsiTheme="minorEastAsia" w:eastAsiaTheme="minorEastAsia"/>
          <w:sz w:val="28"/>
          <w:szCs w:val="28"/>
          <w:highlight w:val="none"/>
        </w:rPr>
        <w:t>放射诊疗设备性能和场所年度检测采购项目</w:t>
      </w:r>
      <w:r>
        <w:rPr>
          <w:rFonts w:hint="eastAsia"/>
          <w:sz w:val="28"/>
          <w:szCs w:val="28"/>
          <w:highlight w:val="none"/>
        </w:rPr>
        <w:t>进行院内采购，欢迎广大符合条件的投标人踊跃投标。</w:t>
      </w:r>
    </w:p>
    <w:p>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pPr>
        <w:pStyle w:val="9"/>
        <w:shd w:val="clear" w:color="auto" w:fill="FFFFFF"/>
        <w:spacing w:before="0" w:beforeAutospacing="0" w:after="0" w:afterAutospacing="0"/>
        <w:ind w:firstLine="645"/>
        <w:rPr>
          <w:rFonts w:hint="eastAsia"/>
          <w:color w:val="000000"/>
          <w:sz w:val="28"/>
          <w:szCs w:val="28"/>
          <w:highlight w:val="none"/>
          <w:lang w:val="en-US" w:eastAsia="zh-CN"/>
        </w:rPr>
      </w:pPr>
      <w:r>
        <w:rPr>
          <w:sz w:val="28"/>
          <w:szCs w:val="28"/>
          <w:highlight w:val="none"/>
        </w:rPr>
        <w:t>1</w:t>
      </w:r>
      <w:r>
        <w:rPr>
          <w:rFonts w:hint="eastAsia"/>
          <w:sz w:val="28"/>
          <w:szCs w:val="28"/>
          <w:highlight w:val="none"/>
        </w:rPr>
        <w:t>、项目编号：</w:t>
      </w:r>
      <w:r>
        <w:rPr>
          <w:color w:val="000000"/>
          <w:sz w:val="28"/>
          <w:szCs w:val="28"/>
          <w:highlight w:val="none"/>
        </w:rPr>
        <w:t>YCZXYYZB</w:t>
      </w:r>
      <w:r>
        <w:rPr>
          <w:rFonts w:hint="eastAsia"/>
          <w:color w:val="000000"/>
          <w:sz w:val="28"/>
          <w:szCs w:val="28"/>
          <w:highlight w:val="none"/>
          <w:lang w:val="en-US" w:eastAsia="zh-CN"/>
        </w:rPr>
        <w:t>-YN</w:t>
      </w:r>
      <w:r>
        <w:rPr>
          <w:color w:val="000000"/>
          <w:sz w:val="28"/>
          <w:szCs w:val="28"/>
          <w:highlight w:val="none"/>
        </w:rPr>
        <w:t>-202</w:t>
      </w:r>
      <w:r>
        <w:rPr>
          <w:rFonts w:hint="eastAsia"/>
          <w:color w:val="000000"/>
          <w:sz w:val="28"/>
          <w:szCs w:val="28"/>
          <w:highlight w:val="none"/>
        </w:rPr>
        <w:t>3</w:t>
      </w:r>
      <w:r>
        <w:rPr>
          <w:color w:val="000000"/>
          <w:sz w:val="28"/>
          <w:szCs w:val="28"/>
          <w:highlight w:val="none"/>
        </w:rPr>
        <w:t>-</w:t>
      </w:r>
      <w:r>
        <w:rPr>
          <w:rFonts w:hint="eastAsia"/>
          <w:color w:val="000000"/>
          <w:sz w:val="28"/>
          <w:szCs w:val="28"/>
          <w:highlight w:val="none"/>
          <w:lang w:val="en-US" w:eastAsia="zh-CN"/>
        </w:rPr>
        <w:t>108</w:t>
      </w:r>
    </w:p>
    <w:p>
      <w:pPr>
        <w:pStyle w:val="9"/>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2023年医院放射诊疗设备性能和场所年度检测采购项目</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w:t>
      </w:r>
      <w:r>
        <w:rPr>
          <w:rFonts w:hint="eastAsia"/>
          <w:color w:val="FF0000"/>
          <w:sz w:val="28"/>
          <w:szCs w:val="28"/>
          <w:highlight w:val="none"/>
        </w:rPr>
        <w:t>3年</w:t>
      </w:r>
      <w:r>
        <w:rPr>
          <w:rFonts w:hint="eastAsia"/>
          <w:color w:val="FF0000"/>
          <w:sz w:val="28"/>
          <w:szCs w:val="28"/>
          <w:highlight w:val="none"/>
          <w:lang w:val="en-US" w:eastAsia="zh-CN"/>
        </w:rPr>
        <w:t>11</w:t>
      </w:r>
      <w:r>
        <w:rPr>
          <w:rFonts w:hint="eastAsia"/>
          <w:color w:val="FF0000"/>
          <w:sz w:val="28"/>
          <w:szCs w:val="28"/>
          <w:highlight w:val="none"/>
        </w:rPr>
        <w:t>月</w:t>
      </w:r>
      <w:r>
        <w:rPr>
          <w:rFonts w:hint="eastAsia"/>
          <w:color w:val="FF0000"/>
          <w:sz w:val="28"/>
          <w:szCs w:val="28"/>
          <w:highlight w:val="none"/>
          <w:lang w:val="en-US" w:eastAsia="zh-CN"/>
        </w:rPr>
        <w:t>30</w:t>
      </w:r>
      <w:r>
        <w:rPr>
          <w:rFonts w:hint="eastAsia"/>
          <w:color w:val="FF0000"/>
          <w:sz w:val="28"/>
          <w:szCs w:val="28"/>
          <w:highlight w:val="none"/>
        </w:rPr>
        <w:t>日</w:t>
      </w:r>
      <w:r>
        <w:rPr>
          <w:rFonts w:hint="eastAsia"/>
          <w:color w:val="FF0000"/>
          <w:sz w:val="28"/>
          <w:szCs w:val="28"/>
          <w:highlight w:val="none"/>
          <w:lang w:val="en-US" w:eastAsia="zh-CN"/>
        </w:rPr>
        <w:t>17:30</w:t>
      </w:r>
      <w:r>
        <w:rPr>
          <w:rFonts w:hint="eastAsia"/>
          <w:sz w:val="28"/>
          <w:szCs w:val="28"/>
          <w:highlight w:val="none"/>
        </w:rPr>
        <w:t>。</w:t>
      </w:r>
    </w:p>
    <w:p>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pPr>
        <w:pStyle w:val="9"/>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13997662875</w:t>
      </w:r>
    </w:p>
    <w:p>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pPr>
        <w:rPr>
          <w:rFonts w:ascii="宋体" w:hAnsi="宋体" w:cs="Times New Roman"/>
          <w:b/>
          <w:bCs/>
          <w:sz w:val="28"/>
          <w:szCs w:val="28"/>
          <w:highlight w:val="none"/>
        </w:rPr>
      </w:pPr>
      <w:r>
        <w:rPr>
          <w:rFonts w:hint="eastAsia" w:ascii="宋体" w:hAnsi="宋体" w:cs="宋体"/>
          <w:b/>
          <w:bCs/>
          <w:sz w:val="28"/>
          <w:szCs w:val="28"/>
          <w:highlight w:val="none"/>
        </w:rPr>
        <w:t>一、采购内容</w:t>
      </w:r>
    </w:p>
    <w:p>
      <w:pPr>
        <w:ind w:firstLine="560" w:firstLineChars="200"/>
        <w:rPr>
          <w:rFonts w:ascii="宋体" w:hAns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、项目编号：YCZXYYZB-YN-2023-108</w:t>
      </w:r>
    </w:p>
    <w:p>
      <w:pPr>
        <w:ind w:firstLine="560" w:firstLineChars="200"/>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2023年医院放射诊疗设备性能和场所年度检测采购项目</w:t>
      </w:r>
    </w:p>
    <w:p>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、项目预算：1</w:t>
      </w:r>
      <w:r>
        <w:rPr>
          <w:rFonts w:hint="eastAsia" w:ascii="宋体" w:hAnsi="宋体" w:cs="宋体"/>
          <w:kern w:val="0"/>
          <w:sz w:val="28"/>
          <w:szCs w:val="28"/>
          <w:highlight w:val="none"/>
          <w:lang w:val="en-US" w:eastAsia="zh-CN"/>
        </w:rPr>
        <w:t>8</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pPr>
        <w:widowControl/>
        <w:spacing w:line="500" w:lineRule="exact"/>
        <w:ind w:firstLine="560" w:firstLineChars="200"/>
        <w:jc w:val="left"/>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5、投标单位须具有《放射卫生技术服务机构资质证书》和《检验检测机构资质认定证书》，资质证书在有效期内，并提供放射卫生技术服务范围，且服务范围能满足项目要求。</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pPr>
        <w:widowControl/>
        <w:spacing w:line="500" w:lineRule="exact"/>
        <w:ind w:firstLine="560" w:firstLineChars="200"/>
        <w:jc w:val="left"/>
        <w:rPr>
          <w:rFonts w:hint="eastAsia" w:ascii="宋体" w:hAnsi="宋体" w:cs="宋体"/>
          <w:bCs/>
          <w:kern w:val="0"/>
          <w:sz w:val="28"/>
          <w:szCs w:val="28"/>
          <w:highlight w:val="none"/>
        </w:rPr>
      </w:pPr>
      <w:r>
        <w:rPr>
          <w:rFonts w:hint="eastAsia" w:ascii="宋体" w:hAnsi="宋体" w:cs="宋体"/>
          <w:bCs/>
          <w:kern w:val="0"/>
          <w:sz w:val="28"/>
          <w:szCs w:val="28"/>
          <w:highlight w:val="none"/>
        </w:rPr>
        <w:t>2023年医院放射诊疗设备性能和场所年度检测采购项目。</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1、场所防护检测报告与设备性能检测报告分开出具，且出具的场所防护检测报告上必须有CMA或CNAS等能力认证认可的章。</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2、年度检测需在双方签订协议合同后1个月内完成检测15日内出具检测报告。</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3、项目费用在第三方检测公司完成相应年度检测并出具检测报告后一个月内一次性付清。</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4、检测报告中涉及的医院信息，中标人应严格遵守保密原则，不得将信息透露给其他机构。</w:t>
      </w:r>
    </w:p>
    <w:p>
      <w:pPr>
        <w:spacing w:line="560" w:lineRule="exact"/>
        <w:jc w:val="center"/>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5、</w:t>
      </w:r>
      <w:r>
        <w:rPr>
          <w:rFonts w:hint="eastAsia" w:ascii="楷体" w:hAnsi="楷体" w:eastAsia="楷体" w:cs="楷体"/>
          <w:sz w:val="32"/>
          <w:szCs w:val="32"/>
          <w:highlight w:val="none"/>
        </w:rPr>
        <w:t>20</w:t>
      </w:r>
      <w:r>
        <w:rPr>
          <w:rFonts w:hint="eastAsia" w:ascii="楷体" w:hAnsi="楷体" w:eastAsia="楷体" w:cs="楷体"/>
          <w:sz w:val="32"/>
          <w:szCs w:val="32"/>
          <w:highlight w:val="none"/>
          <w:lang w:val="en-US" w:eastAsia="zh-CN"/>
        </w:rPr>
        <w:t>23</w:t>
      </w:r>
      <w:r>
        <w:rPr>
          <w:rFonts w:hint="eastAsia" w:ascii="楷体" w:hAnsi="楷体" w:eastAsia="楷体" w:cs="楷体"/>
          <w:sz w:val="32"/>
          <w:szCs w:val="32"/>
          <w:highlight w:val="none"/>
        </w:rPr>
        <w:t>年放射诊疗设备性能和场所年度检测</w:t>
      </w:r>
      <w:r>
        <w:rPr>
          <w:rFonts w:hint="eastAsia" w:ascii="楷体" w:hAnsi="楷体" w:eastAsia="楷体" w:cs="楷体"/>
          <w:sz w:val="32"/>
          <w:szCs w:val="32"/>
          <w:highlight w:val="none"/>
          <w:lang w:val="en-US" w:eastAsia="zh-CN"/>
        </w:rPr>
        <w:t>明细表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2666"/>
        <w:gridCol w:w="1500"/>
        <w:gridCol w:w="1667"/>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b/>
                <w:bCs/>
                <w:sz w:val="24"/>
                <w:szCs w:val="36"/>
                <w:highlight w:val="none"/>
              </w:rPr>
            </w:pPr>
            <w:bookmarkStart w:id="8" w:name="_GoBack" w:colFirst="2" w:colLast="4"/>
            <w:r>
              <w:rPr>
                <w:rFonts w:hint="eastAsia" w:ascii="仿宋" w:hAnsi="仿宋" w:eastAsia="仿宋"/>
                <w:b/>
                <w:bCs/>
                <w:sz w:val="24"/>
                <w:szCs w:val="36"/>
                <w:highlight w:val="none"/>
                <w:lang w:val="en-US" w:eastAsia="zh-CN"/>
              </w:rPr>
              <w:t>序号</w:t>
            </w:r>
          </w:p>
        </w:tc>
        <w:tc>
          <w:tcPr>
            <w:tcW w:w="2666" w:type="dxa"/>
            <w:vAlign w:val="center"/>
          </w:tcPr>
          <w:p>
            <w:pPr>
              <w:spacing w:line="560" w:lineRule="exact"/>
              <w:jc w:val="center"/>
              <w:rPr>
                <w:rFonts w:ascii="仿宋" w:hAnsi="仿宋" w:eastAsia="仿宋"/>
                <w:b/>
                <w:bCs/>
                <w:sz w:val="24"/>
                <w:szCs w:val="36"/>
                <w:highlight w:val="none"/>
              </w:rPr>
            </w:pPr>
            <w:r>
              <w:rPr>
                <w:rFonts w:hint="eastAsia" w:ascii="仿宋" w:hAnsi="仿宋" w:eastAsia="仿宋"/>
                <w:b/>
                <w:bCs/>
                <w:sz w:val="24"/>
                <w:szCs w:val="36"/>
                <w:highlight w:val="none"/>
                <w:lang w:val="en-US" w:eastAsia="zh-CN"/>
              </w:rPr>
              <w:t>设备（场所）类别</w:t>
            </w:r>
          </w:p>
        </w:tc>
        <w:tc>
          <w:tcPr>
            <w:tcW w:w="1500" w:type="dxa"/>
            <w:vAlign w:val="center"/>
          </w:tcPr>
          <w:p>
            <w:pPr>
              <w:spacing w:line="560" w:lineRule="exact"/>
              <w:jc w:val="center"/>
              <w:rPr>
                <w:rFonts w:ascii="仿宋" w:hAnsi="仿宋" w:eastAsia="仿宋"/>
                <w:b/>
                <w:bCs/>
                <w:sz w:val="24"/>
                <w:szCs w:val="36"/>
                <w:highlight w:val="none"/>
              </w:rPr>
            </w:pPr>
            <w:r>
              <w:rPr>
                <w:rFonts w:hint="eastAsia" w:ascii="仿宋" w:hAnsi="仿宋" w:eastAsia="仿宋"/>
                <w:b/>
                <w:bCs/>
                <w:sz w:val="24"/>
                <w:szCs w:val="36"/>
                <w:highlight w:val="none"/>
                <w:lang w:val="en-US" w:eastAsia="zh-CN"/>
              </w:rPr>
              <w:t>伍家院区</w:t>
            </w:r>
          </w:p>
        </w:tc>
        <w:tc>
          <w:tcPr>
            <w:tcW w:w="1667" w:type="dxa"/>
            <w:vAlign w:val="center"/>
          </w:tcPr>
          <w:p>
            <w:pPr>
              <w:spacing w:line="560" w:lineRule="exact"/>
              <w:jc w:val="center"/>
              <w:rPr>
                <w:rFonts w:ascii="仿宋" w:hAnsi="仿宋" w:eastAsia="仿宋"/>
                <w:b/>
                <w:bCs/>
                <w:sz w:val="24"/>
                <w:szCs w:val="36"/>
                <w:highlight w:val="none"/>
              </w:rPr>
            </w:pPr>
            <w:r>
              <w:rPr>
                <w:rFonts w:hint="eastAsia" w:ascii="仿宋" w:hAnsi="仿宋" w:eastAsia="仿宋"/>
                <w:b/>
                <w:bCs/>
                <w:sz w:val="24"/>
                <w:szCs w:val="36"/>
                <w:highlight w:val="none"/>
                <w:lang w:val="en-US" w:eastAsia="zh-CN"/>
              </w:rPr>
              <w:t>西陵院区</w:t>
            </w:r>
          </w:p>
        </w:tc>
        <w:tc>
          <w:tcPr>
            <w:tcW w:w="1543" w:type="dxa"/>
            <w:vAlign w:val="center"/>
          </w:tcPr>
          <w:p>
            <w:pPr>
              <w:spacing w:line="560" w:lineRule="exact"/>
              <w:jc w:val="center"/>
              <w:rPr>
                <w:rFonts w:ascii="仿宋" w:hAnsi="仿宋" w:eastAsia="仿宋"/>
                <w:b/>
                <w:bCs/>
                <w:sz w:val="24"/>
                <w:szCs w:val="36"/>
                <w:highlight w:val="none"/>
              </w:rPr>
            </w:pPr>
            <w:r>
              <w:rPr>
                <w:rFonts w:hint="eastAsia" w:ascii="仿宋" w:hAnsi="仿宋" w:eastAsia="仿宋"/>
                <w:b/>
                <w:bCs/>
                <w:sz w:val="24"/>
                <w:szCs w:val="36"/>
                <w:highlight w:val="none"/>
                <w:lang w:val="en-US" w:eastAsia="zh-CN"/>
              </w:rPr>
              <w:t>坝区分院</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CT</w:t>
            </w:r>
          </w:p>
        </w:tc>
        <w:tc>
          <w:tcPr>
            <w:tcW w:w="1500" w:type="dxa"/>
            <w:vAlign w:val="center"/>
          </w:tcPr>
          <w:p>
            <w:pPr>
              <w:keepNext w:val="0"/>
              <w:keepLines w:val="0"/>
              <w:widowControl/>
              <w:suppressLineNumbers w:val="0"/>
              <w:jc w:val="center"/>
              <w:textAlignment w:val="bottom"/>
              <w:rPr>
                <w:rFonts w:hint="default" w:ascii="仿宋" w:hAnsi="仿宋" w:eastAsia="仿宋"/>
                <w:sz w:val="24"/>
                <w:szCs w:val="36"/>
                <w:highlight w:val="none"/>
                <w:lang w:val="en-US"/>
              </w:rPr>
            </w:pPr>
            <w:r>
              <w:rPr>
                <w:rFonts w:hint="eastAsia" w:ascii="仿宋" w:hAnsi="仿宋" w:eastAsia="仿宋" w:cs="仿宋"/>
                <w:i w:val="0"/>
                <w:iCs w:val="0"/>
                <w:color w:val="000000"/>
                <w:kern w:val="0"/>
                <w:sz w:val="24"/>
                <w:szCs w:val="24"/>
                <w:highlight w:val="none"/>
                <w:u w:val="none"/>
                <w:lang w:val="en-US" w:eastAsia="zh-CN" w:bidi="ar"/>
              </w:rPr>
              <w:t>10台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7台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2</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DR</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4台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5台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3</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移动C臂机</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2台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4</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DSA</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6台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3台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5</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移动DR</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2台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6</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数字胃肠机</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7</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口腔CT</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8</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牙片机/牙科X射线机</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9</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骨密度仪</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10</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碎石机</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11</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医用直线加速器</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2台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12</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常规模拟定位机</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13</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核素病房</w:t>
            </w:r>
          </w:p>
        </w:tc>
        <w:tc>
          <w:tcPr>
            <w:tcW w:w="1500" w:type="dxa"/>
            <w:vAlign w:val="center"/>
          </w:tcPr>
          <w:p>
            <w:pPr>
              <w:keepNext w:val="0"/>
              <w:keepLines w:val="0"/>
              <w:widowControl/>
              <w:suppressLineNumbers w:val="0"/>
              <w:jc w:val="center"/>
              <w:textAlignment w:val="bottom"/>
              <w:rPr>
                <w:rFonts w:hint="default" w:ascii="仿宋" w:hAnsi="仿宋" w:eastAsia="仿宋"/>
                <w:sz w:val="24"/>
                <w:szCs w:val="36"/>
                <w:highlight w:val="none"/>
                <w:lang w:val="en-US"/>
              </w:rPr>
            </w:pPr>
            <w:r>
              <w:rPr>
                <w:rFonts w:hint="eastAsia" w:ascii="仿宋" w:hAnsi="仿宋" w:eastAsia="仿宋" w:cs="仿宋"/>
                <w:i w:val="0"/>
                <w:iCs w:val="0"/>
                <w:color w:val="000000"/>
                <w:kern w:val="0"/>
                <w:sz w:val="24"/>
                <w:szCs w:val="24"/>
                <w:highlight w:val="none"/>
                <w:u w:val="none"/>
                <w:lang w:val="en-US" w:eastAsia="zh-CN" w:bidi="ar"/>
              </w:rPr>
              <w:t>2间</w:t>
            </w:r>
          </w:p>
        </w:tc>
        <w:tc>
          <w:tcPr>
            <w:tcW w:w="1667" w:type="dxa"/>
            <w:vAlign w:val="center"/>
          </w:tcPr>
          <w:p>
            <w:pPr>
              <w:keepNext w:val="0"/>
              <w:keepLines w:val="0"/>
              <w:widowControl/>
              <w:suppressLineNumbers w:val="0"/>
              <w:jc w:val="center"/>
              <w:textAlignment w:val="bottom"/>
              <w:rPr>
                <w:rFonts w:hint="default" w:ascii="仿宋" w:hAnsi="仿宋" w:eastAsia="仿宋"/>
                <w:sz w:val="24"/>
                <w:szCs w:val="36"/>
                <w:highlight w:val="none"/>
                <w:lang w:val="en-US"/>
              </w:rPr>
            </w:pPr>
            <w:r>
              <w:rPr>
                <w:rFonts w:hint="eastAsia" w:ascii="仿宋" w:hAnsi="仿宋" w:eastAsia="仿宋" w:cs="仿宋"/>
                <w:i w:val="0"/>
                <w:iCs w:val="0"/>
                <w:color w:val="000000"/>
                <w:kern w:val="0"/>
                <w:sz w:val="24"/>
                <w:szCs w:val="24"/>
                <w:highlight w:val="none"/>
                <w:u w:val="none"/>
                <w:lang w:val="en-US" w:eastAsia="zh-CN" w:bidi="ar"/>
              </w:rPr>
              <w:t>2间</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14</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粒籽植入病房</w:t>
            </w:r>
          </w:p>
        </w:tc>
        <w:tc>
          <w:tcPr>
            <w:tcW w:w="1500" w:type="dxa"/>
            <w:vAlign w:val="center"/>
          </w:tcPr>
          <w:p>
            <w:pPr>
              <w:keepNext w:val="0"/>
              <w:keepLines w:val="0"/>
              <w:widowControl/>
              <w:suppressLineNumbers w:val="0"/>
              <w:jc w:val="center"/>
              <w:textAlignment w:val="bottom"/>
              <w:rPr>
                <w:rFonts w:hint="default" w:ascii="仿宋" w:hAnsi="仿宋" w:eastAsia="仿宋"/>
                <w:sz w:val="24"/>
                <w:szCs w:val="36"/>
                <w:highlight w:val="none"/>
                <w:lang w:val="en-US"/>
              </w:rPr>
            </w:pPr>
            <w:r>
              <w:rPr>
                <w:rFonts w:hint="eastAsia" w:ascii="仿宋" w:hAnsi="仿宋" w:eastAsia="仿宋" w:cs="仿宋"/>
                <w:i w:val="0"/>
                <w:iCs w:val="0"/>
                <w:color w:val="000000"/>
                <w:kern w:val="0"/>
                <w:sz w:val="24"/>
                <w:szCs w:val="24"/>
                <w:highlight w:val="none"/>
                <w:u w:val="none"/>
                <w:lang w:val="en-US" w:eastAsia="zh-CN" w:bidi="ar"/>
              </w:rPr>
              <w:t>-</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2间</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15</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乳腺钼靶机</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16</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SPECT/CT</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17</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PET/CT</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18</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后装机</w:t>
            </w:r>
          </w:p>
        </w:tc>
        <w:tc>
          <w:tcPr>
            <w:tcW w:w="1500" w:type="dxa"/>
            <w:vAlign w:val="center"/>
          </w:tcPr>
          <w:p>
            <w:pPr>
              <w:keepNext w:val="0"/>
              <w:keepLines w:val="0"/>
              <w:widowControl/>
              <w:suppressLineNumbers w:val="0"/>
              <w:jc w:val="center"/>
              <w:textAlignment w:val="bottom"/>
              <w:rPr>
                <w:rFonts w:hint="eastAsia" w:ascii="仿宋" w:hAnsi="仿宋" w:eastAsia="仿宋"/>
                <w:sz w:val="24"/>
                <w:szCs w:val="36"/>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19</w:t>
            </w:r>
          </w:p>
        </w:tc>
        <w:tc>
          <w:tcPr>
            <w:tcW w:w="2666"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回旋加速器</w:t>
            </w:r>
          </w:p>
        </w:tc>
        <w:tc>
          <w:tcPr>
            <w:tcW w:w="1500"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1台</w:t>
            </w:r>
          </w:p>
        </w:tc>
        <w:tc>
          <w:tcPr>
            <w:tcW w:w="1667" w:type="dxa"/>
            <w:vAlign w:val="center"/>
          </w:tcPr>
          <w:p>
            <w:pPr>
              <w:keepNext w:val="0"/>
              <w:keepLines w:val="0"/>
              <w:widowControl/>
              <w:suppressLineNumbers w:val="0"/>
              <w:jc w:val="center"/>
              <w:textAlignment w:val="bottom"/>
              <w:rPr>
                <w:rFonts w:ascii="仿宋" w:hAnsi="仿宋" w:eastAsia="仿宋"/>
                <w:sz w:val="24"/>
                <w:szCs w:val="36"/>
                <w:highlight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543" w:type="dxa"/>
            <w:vAlign w:val="center"/>
          </w:tcPr>
          <w:p>
            <w:pPr>
              <w:spacing w:line="560" w:lineRule="exact"/>
              <w:jc w:val="center"/>
              <w:rPr>
                <w:rFonts w:ascii="仿宋" w:hAnsi="仿宋" w:eastAsia="仿宋"/>
                <w:sz w:val="24"/>
                <w:szCs w:val="36"/>
                <w:highlight w:val="none"/>
              </w:rPr>
            </w:pPr>
            <w:r>
              <w:rPr>
                <w:rFonts w:hint="eastAsia" w:ascii="仿宋" w:hAnsi="仿宋" w:eastAsia="仿宋"/>
                <w:sz w:val="24"/>
                <w:szCs w:val="3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6" w:type="dxa"/>
            <w:gridSpan w:val="2"/>
            <w:vAlign w:val="center"/>
          </w:tcPr>
          <w:p>
            <w:pPr>
              <w:spacing w:line="560" w:lineRule="exact"/>
              <w:jc w:val="center"/>
              <w:rPr>
                <w:rFonts w:hint="eastAsia" w:ascii="仿宋" w:hAnsi="仿宋" w:eastAsia="仿宋"/>
                <w:sz w:val="24"/>
                <w:szCs w:val="36"/>
                <w:highlight w:val="none"/>
              </w:rPr>
            </w:pPr>
            <w:r>
              <w:rPr>
                <w:rFonts w:hint="eastAsia" w:ascii="仿宋" w:hAnsi="仿宋" w:eastAsia="仿宋"/>
                <w:sz w:val="24"/>
                <w:szCs w:val="36"/>
                <w:highlight w:val="none"/>
              </w:rPr>
              <w:t>合计</w:t>
            </w:r>
          </w:p>
        </w:tc>
        <w:tc>
          <w:tcPr>
            <w:tcW w:w="4710" w:type="dxa"/>
            <w:gridSpan w:val="3"/>
            <w:vAlign w:val="center"/>
          </w:tcPr>
          <w:p>
            <w:pPr>
              <w:spacing w:line="560" w:lineRule="exact"/>
              <w:jc w:val="center"/>
              <w:rPr>
                <w:rFonts w:hint="default" w:ascii="仿宋" w:hAnsi="仿宋" w:eastAsia="仿宋"/>
                <w:sz w:val="24"/>
                <w:szCs w:val="36"/>
                <w:highlight w:val="none"/>
                <w:lang w:val="en-US" w:eastAsia="zh-CN"/>
              </w:rPr>
            </w:pPr>
            <w:r>
              <w:rPr>
                <w:rFonts w:hint="eastAsia" w:ascii="仿宋" w:hAnsi="仿宋" w:eastAsia="仿宋"/>
                <w:sz w:val="24"/>
                <w:szCs w:val="36"/>
                <w:highlight w:val="none"/>
                <w:lang w:val="en-US" w:eastAsia="zh-CN"/>
              </w:rPr>
              <w:t>65台设备、6间病房（其中伍家院区32台设备、2间病房，西陵院区29台设备、4间病房，坝区分院4台设备）</w:t>
            </w:r>
          </w:p>
        </w:tc>
      </w:tr>
    </w:tbl>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p>
    <w:p>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付款条件及方式：完成</w:t>
      </w:r>
      <w:r>
        <w:rPr>
          <w:rFonts w:hint="eastAsia" w:ascii="宋体" w:hAnsi="宋体" w:cs="宋体"/>
          <w:kern w:val="0"/>
          <w:sz w:val="28"/>
          <w:szCs w:val="28"/>
          <w:highlight w:val="none"/>
          <w:lang w:val="en-US" w:eastAsia="zh-CN"/>
        </w:rPr>
        <w:t>宜昌市中心人民医院2023年医院放射诊疗设备性能和场所年度检测</w:t>
      </w:r>
      <w:r>
        <w:rPr>
          <w:rFonts w:hint="eastAsia" w:ascii="宋体" w:hAnsi="宋体" w:cs="宋体"/>
          <w:kern w:val="0"/>
          <w:sz w:val="28"/>
          <w:szCs w:val="28"/>
          <w:highlight w:val="none"/>
        </w:rPr>
        <w:t>并</w:t>
      </w:r>
      <w:r>
        <w:rPr>
          <w:rFonts w:hint="eastAsia" w:ascii="宋体" w:hAnsi="宋体" w:cs="宋体"/>
          <w:kern w:val="0"/>
          <w:sz w:val="28"/>
          <w:szCs w:val="28"/>
          <w:highlight w:val="none"/>
          <w:lang w:val="en-US" w:eastAsia="zh-CN"/>
        </w:rPr>
        <w:t>出具相应合格的检测报告</w:t>
      </w:r>
      <w:r>
        <w:rPr>
          <w:rFonts w:hint="eastAsia" w:ascii="宋体" w:hAnsi="宋体" w:cs="宋体"/>
          <w:kern w:val="0"/>
          <w:sz w:val="28"/>
          <w:szCs w:val="28"/>
          <w:highlight w:val="none"/>
        </w:rPr>
        <w:t>后一次性支付全部款项</w:t>
      </w:r>
      <w:r>
        <w:rPr>
          <w:rFonts w:hint="eastAsia" w:ascii="宋体" w:hAnsi="宋体" w:cs="宋体"/>
          <w:kern w:val="0"/>
          <w:sz w:val="28"/>
          <w:szCs w:val="28"/>
          <w:highlight w:val="none"/>
          <w:lang w:eastAsia="zh-CN"/>
        </w:rPr>
        <w:t>。</w:t>
      </w:r>
    </w:p>
    <w:p>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pPr>
              <w:widowControl/>
              <w:spacing w:line="500" w:lineRule="exact"/>
              <w:jc w:val="left"/>
              <w:rPr>
                <w:rFonts w:hint="eastAsia" w:ascii="宋体" w:hAnsi="宋体"/>
                <w:sz w:val="28"/>
                <w:szCs w:val="28"/>
                <w:highlight w:val="none"/>
              </w:rPr>
            </w:pPr>
            <w:r>
              <w:rPr>
                <w:rFonts w:hint="eastAsia" w:ascii="宋体" w:hAnsi="宋体" w:cs="宋体"/>
                <w:kern w:val="0"/>
                <w:sz w:val="28"/>
                <w:szCs w:val="28"/>
                <w:highlight w:val="none"/>
                <w:lang w:val="en-US" w:eastAsia="zh-CN"/>
              </w:rPr>
              <w:t>公司具备《放射卫生技术服务机构资质证书》和《检验检测机构资质认定证书》，资质证书在有效期内，并提供放射卫生技术服务范围，且服务范围能满足项目要求。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正本两份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pPr>
        <w:pStyle w:val="2"/>
        <w:jc w:val="center"/>
        <w:rPr>
          <w:highlight w:val="none"/>
        </w:rPr>
      </w:pPr>
      <w:bookmarkStart w:id="1" w:name="_Toc456291479"/>
      <w:bookmarkStart w:id="2" w:name="_Toc456291537"/>
      <w:bookmarkStart w:id="3" w:name="_Toc462487372"/>
      <w:bookmarkStart w:id="4" w:name="_Toc456291354"/>
      <w:bookmarkStart w:id="5" w:name="_Toc456291165"/>
      <w:bookmarkStart w:id="6" w:name="_Toc456291260"/>
      <w:bookmarkStart w:id="7" w:name="_Toc456291280"/>
      <w:r>
        <w:rPr>
          <w:rFonts w:hint="eastAsia"/>
          <w:highlight w:val="none"/>
        </w:rPr>
        <w:t>投标文件</w:t>
      </w:r>
      <w:bookmarkEnd w:id="1"/>
      <w:bookmarkEnd w:id="2"/>
      <w:bookmarkEnd w:id="3"/>
      <w:bookmarkEnd w:id="4"/>
      <w:bookmarkEnd w:id="5"/>
      <w:bookmarkEnd w:id="6"/>
      <w:bookmarkEnd w:id="7"/>
      <w:r>
        <w:rPr>
          <w:rFonts w:hint="eastAsia"/>
          <w:highlight w:val="none"/>
        </w:rPr>
        <w:t>封皮</w:t>
      </w:r>
    </w:p>
    <w:p>
      <w:pPr>
        <w:rPr>
          <w:rFonts w:ascii="宋体" w:hAnsi="宋体"/>
          <w:highlight w:val="none"/>
        </w:rPr>
      </w:pPr>
    </w:p>
    <w:p>
      <w:pPr>
        <w:pStyle w:val="26"/>
        <w:jc w:val="center"/>
        <w:rPr>
          <w:rFonts w:ascii="黑体" w:hAnsi="黑体" w:eastAsia="黑体"/>
          <w:b/>
          <w:bCs/>
          <w:sz w:val="44"/>
          <w:szCs w:val="44"/>
          <w:highlight w:val="none"/>
        </w:rPr>
      </w:pPr>
    </w:p>
    <w:p>
      <w:pPr>
        <w:pStyle w:val="26"/>
        <w:jc w:val="center"/>
        <w:rPr>
          <w:rFonts w:ascii="黑体" w:hAnsi="黑体" w:eastAsia="黑体"/>
          <w:b/>
          <w:bCs/>
          <w:sz w:val="44"/>
          <w:szCs w:val="44"/>
          <w:highlight w:val="none"/>
        </w:rPr>
      </w:pPr>
    </w:p>
    <w:p>
      <w:pPr>
        <w:pStyle w:val="26"/>
        <w:rPr>
          <w:rFonts w:ascii="楷体_GB2312" w:eastAsia="楷体_GB2312"/>
          <w:b/>
          <w:bCs/>
          <w:sz w:val="54"/>
          <w:highlight w:val="none"/>
        </w:rPr>
      </w:pPr>
    </w:p>
    <w:p>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pPr>
        <w:pStyle w:val="26"/>
        <w:spacing w:line="500" w:lineRule="exact"/>
        <w:rPr>
          <w:rFonts w:ascii="楷体_GB2312" w:eastAsia="楷体_GB2312"/>
          <w:b/>
          <w:sz w:val="32"/>
          <w:szCs w:val="32"/>
          <w:highlight w:val="none"/>
        </w:rPr>
      </w:pPr>
    </w:p>
    <w:p>
      <w:pPr>
        <w:pStyle w:val="26"/>
        <w:spacing w:line="500" w:lineRule="exact"/>
        <w:ind w:firstLine="562" w:firstLineChars="200"/>
        <w:rPr>
          <w:rFonts w:ascii="楷体_GB2312" w:eastAsia="楷体_GB2312"/>
          <w:b/>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pPr>
        <w:ind w:left="-141" w:leftChars="-67" w:right="-197" w:rightChars="-94" w:firstLine="883" w:firstLineChars="200"/>
        <w:jc w:val="center"/>
        <w:rPr>
          <w:rFonts w:ascii="宋体" w:hAnsi="宋体"/>
          <w:b/>
          <w:sz w:val="44"/>
          <w:highlight w:val="none"/>
        </w:rPr>
      </w:pPr>
    </w:p>
    <w:p>
      <w:pPr>
        <w:ind w:left="-141" w:leftChars="-67" w:right="-197" w:rightChars="-94" w:firstLine="883" w:firstLineChars="200"/>
        <w:jc w:val="center"/>
        <w:rPr>
          <w:rFonts w:ascii="宋体" w:hAnsi="宋体"/>
          <w:b/>
          <w:sz w:val="44"/>
          <w:highlight w:val="none"/>
        </w:rPr>
      </w:pPr>
    </w:p>
    <w:p>
      <w:pPr>
        <w:ind w:left="-141" w:leftChars="-67" w:right="-197" w:rightChars="-94" w:firstLine="883" w:firstLineChars="200"/>
        <w:jc w:val="center"/>
        <w:rPr>
          <w:rFonts w:ascii="宋体" w:hAnsi="宋体"/>
          <w:b/>
          <w:sz w:val="44"/>
          <w:highlight w:val="none"/>
        </w:rPr>
      </w:pPr>
    </w:p>
    <w:p>
      <w:pPr>
        <w:spacing w:line="360" w:lineRule="auto"/>
        <w:jc w:val="center"/>
        <w:rPr>
          <w:rFonts w:ascii="宋体" w:hAnsi="宋体"/>
          <w:b/>
          <w:sz w:val="28"/>
          <w:highlight w:val="none"/>
        </w:rPr>
      </w:pPr>
      <w:r>
        <w:rPr>
          <w:rFonts w:hint="eastAsia" w:ascii="宋体" w:hAnsi="宋体"/>
          <w:b/>
          <w:sz w:val="28"/>
          <w:highlight w:val="none"/>
        </w:rPr>
        <w:t>法定代表人资格证明书</w:t>
      </w:r>
    </w:p>
    <w:p>
      <w:pPr>
        <w:spacing w:line="360" w:lineRule="auto"/>
        <w:rPr>
          <w:rFonts w:ascii="宋体" w:hAnsi="宋体"/>
          <w:sz w:val="24"/>
          <w:highlight w:val="none"/>
        </w:rPr>
      </w:pPr>
    </w:p>
    <w:p>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highlight w:val="none"/>
              </w:rPr>
            </w:pPr>
          </w:p>
          <w:p>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pPr>
              <w:pStyle w:val="29"/>
              <w:adjustRightInd w:val="0"/>
              <w:snapToGrid w:val="0"/>
              <w:spacing w:line="500" w:lineRule="exact"/>
              <w:jc w:val="center"/>
              <w:rPr>
                <w:rFonts w:ascii="宋体" w:hAnsi="宋体"/>
                <w:szCs w:val="28"/>
                <w:highlight w:val="none"/>
              </w:rPr>
            </w:pPr>
          </w:p>
        </w:tc>
      </w:tr>
    </w:tbl>
    <w:p>
      <w:pPr>
        <w:pStyle w:val="29"/>
        <w:adjustRightInd w:val="0"/>
        <w:snapToGrid w:val="0"/>
        <w:spacing w:line="500" w:lineRule="exact"/>
        <w:rPr>
          <w:rFonts w:ascii="宋体" w:hAnsi="宋体"/>
          <w:szCs w:val="28"/>
          <w:highlight w:val="none"/>
        </w:rPr>
      </w:pP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right"/>
        <w:rPr>
          <w:rFonts w:ascii="宋体" w:hAnsi="宋体"/>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pPr>
        <w:pStyle w:val="28"/>
        <w:rPr>
          <w:highlight w:val="none"/>
        </w:rPr>
      </w:pPr>
      <w:r>
        <w:rPr>
          <w:rFonts w:hint="eastAsia"/>
          <w:highlight w:val="none"/>
        </w:rPr>
        <w:t xml:space="preserve">单位负责人资格证明文件 </w:t>
      </w:r>
    </w:p>
    <w:p>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highlight w:val="none"/>
              </w:rPr>
            </w:pPr>
          </w:p>
          <w:p>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pPr>
              <w:pStyle w:val="29"/>
              <w:adjustRightInd w:val="0"/>
              <w:snapToGrid w:val="0"/>
              <w:spacing w:line="500" w:lineRule="exact"/>
              <w:jc w:val="center"/>
              <w:rPr>
                <w:rFonts w:ascii="宋体" w:hAnsi="宋体"/>
                <w:szCs w:val="28"/>
                <w:highlight w:val="none"/>
              </w:rPr>
            </w:pPr>
          </w:p>
        </w:tc>
      </w:tr>
    </w:tbl>
    <w:p>
      <w:pPr>
        <w:pStyle w:val="29"/>
        <w:adjustRightInd w:val="0"/>
        <w:snapToGrid w:val="0"/>
        <w:spacing w:line="500" w:lineRule="exact"/>
        <w:rPr>
          <w:rFonts w:ascii="宋体" w:hAnsi="宋体"/>
          <w:szCs w:val="28"/>
          <w:highlight w:val="none"/>
        </w:rPr>
      </w:pPr>
    </w:p>
    <w:p>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right"/>
        <w:rPr>
          <w:rFonts w:ascii="宋体" w:hAnsi="宋体"/>
          <w:sz w:val="24"/>
          <w:highlight w:val="none"/>
        </w:rPr>
      </w:pPr>
    </w:p>
    <w:p>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pPr>
        <w:pStyle w:val="28"/>
        <w:rPr>
          <w:highlight w:val="none"/>
        </w:rPr>
      </w:pPr>
      <w:r>
        <w:rPr>
          <w:rFonts w:hint="eastAsia"/>
          <w:highlight w:val="none"/>
        </w:rPr>
        <w:t xml:space="preserve">自然人资格证明文件 </w:t>
      </w:r>
    </w:p>
    <w:p>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highlight w:val="none"/>
              </w:rPr>
            </w:pPr>
          </w:p>
          <w:p>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pPr>
              <w:pStyle w:val="29"/>
              <w:adjustRightInd w:val="0"/>
              <w:snapToGrid w:val="0"/>
              <w:spacing w:line="500" w:lineRule="exact"/>
              <w:jc w:val="center"/>
              <w:rPr>
                <w:rFonts w:ascii="宋体" w:hAnsi="宋体"/>
                <w:szCs w:val="28"/>
                <w:highlight w:val="none"/>
              </w:rPr>
            </w:pPr>
          </w:p>
        </w:tc>
      </w:tr>
    </w:tbl>
    <w:p>
      <w:pPr>
        <w:pStyle w:val="29"/>
        <w:adjustRightInd w:val="0"/>
        <w:snapToGrid w:val="0"/>
        <w:spacing w:line="500" w:lineRule="exact"/>
        <w:ind w:left="0" w:firstLine="0"/>
        <w:rPr>
          <w:rFonts w:ascii="宋体" w:hAnsi="宋体"/>
          <w:szCs w:val="28"/>
          <w:highlight w:val="none"/>
        </w:rPr>
      </w:pPr>
    </w:p>
    <w:p>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pStyle w:val="28"/>
        <w:jc w:val="both"/>
        <w:rPr>
          <w:b w:val="0"/>
          <w:highlight w:val="none"/>
        </w:rPr>
      </w:pPr>
    </w:p>
    <w:p>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pPr>
        <w:pStyle w:val="28"/>
        <w:rPr>
          <w:highlight w:val="none"/>
        </w:rPr>
      </w:pPr>
      <w:r>
        <w:rPr>
          <w:rFonts w:hint="eastAsia"/>
          <w:highlight w:val="none"/>
        </w:rPr>
        <w:t>授权委托书</w:t>
      </w:r>
    </w:p>
    <w:p>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pPr>
              <w:pStyle w:val="29"/>
              <w:spacing w:line="500" w:lineRule="exact"/>
              <w:rPr>
                <w:rFonts w:ascii="宋体" w:hAnsi="宋体"/>
                <w:szCs w:val="28"/>
                <w:highlight w:val="none"/>
              </w:rPr>
            </w:pPr>
          </w:p>
        </w:tc>
      </w:tr>
    </w:tbl>
    <w:p>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pPr>
        <w:jc w:val="center"/>
        <w:rPr>
          <w:rFonts w:ascii="宋体" w:hAnsi="宋体"/>
          <w:b/>
          <w:sz w:val="36"/>
          <w:szCs w:val="28"/>
          <w:highlight w:val="none"/>
        </w:rPr>
      </w:pPr>
      <w:r>
        <w:rPr>
          <w:rFonts w:ascii="宋体" w:hAnsi="宋体"/>
          <w:b/>
          <w:bCs/>
          <w:sz w:val="36"/>
          <w:szCs w:val="28"/>
          <w:highlight w:val="none"/>
        </w:rPr>
        <w:t>承诺函</w:t>
      </w:r>
    </w:p>
    <w:p>
      <w:pPr>
        <w:jc w:val="center"/>
        <w:rPr>
          <w:rFonts w:ascii="宋体" w:hAnsi="宋体"/>
          <w:b/>
          <w:sz w:val="28"/>
          <w:szCs w:val="28"/>
          <w:highlight w:val="none"/>
        </w:rPr>
      </w:pPr>
    </w:p>
    <w:p>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pPr>
        <w:tabs>
          <w:tab w:val="left" w:pos="854"/>
        </w:tabs>
        <w:spacing w:line="360" w:lineRule="auto"/>
        <w:rPr>
          <w:rFonts w:ascii="宋体" w:hAnsi="宋体"/>
          <w:bCs/>
          <w:sz w:val="28"/>
          <w:szCs w:val="28"/>
          <w:highlight w:val="none"/>
        </w:rPr>
      </w:pPr>
    </w:p>
    <w:p>
      <w:pPr>
        <w:tabs>
          <w:tab w:val="left" w:pos="854"/>
        </w:tabs>
        <w:spacing w:line="360" w:lineRule="auto"/>
        <w:rPr>
          <w:rFonts w:ascii="宋体" w:hAnsi="宋体"/>
          <w:bCs/>
          <w:sz w:val="28"/>
          <w:szCs w:val="28"/>
          <w:highlight w:val="none"/>
        </w:rPr>
      </w:pPr>
    </w:p>
    <w:p>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pPr>
        <w:spacing w:line="500" w:lineRule="exact"/>
        <w:ind w:firstLine="720"/>
        <w:rPr>
          <w:rFonts w:ascii="宋体" w:hAnsi="宋体"/>
          <w:kern w:val="0"/>
          <w:sz w:val="28"/>
          <w:szCs w:val="28"/>
          <w:highlight w:val="none"/>
        </w:rPr>
      </w:pPr>
    </w:p>
    <w:p>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pPr>
        <w:pStyle w:val="29"/>
        <w:spacing w:before="0" w:after="0" w:line="240" w:lineRule="auto"/>
        <w:ind w:left="1070" w:hanging="1069" w:hangingChars="382"/>
        <w:jc w:val="left"/>
        <w:rPr>
          <w:rFonts w:ascii="宋体" w:hAnsi="宋体"/>
          <w:kern w:val="0"/>
          <w:szCs w:val="28"/>
          <w:highlight w:val="none"/>
        </w:rPr>
      </w:pPr>
    </w:p>
    <w:p>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pPr>
        <w:pStyle w:val="30"/>
        <w:rPr>
          <w:sz w:val="28"/>
          <w:szCs w:val="28"/>
          <w:highlight w:val="none"/>
        </w:rPr>
      </w:pPr>
    </w:p>
    <w:p>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16765552"/>
    <w:rsid w:val="220B5E62"/>
    <w:rsid w:val="3ECF3E9B"/>
    <w:rsid w:val="47084839"/>
    <w:rsid w:val="4AD978D9"/>
    <w:rsid w:val="4AE95AC3"/>
    <w:rsid w:val="4B51068F"/>
    <w:rsid w:val="52DF154F"/>
    <w:rsid w:val="5B5E5AC4"/>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911</Words>
  <Characters>5198</Characters>
  <Lines>43</Lines>
  <Paragraphs>12</Paragraphs>
  <TotalTime>41</TotalTime>
  <ScaleCrop>false</ScaleCrop>
  <LinksUpToDate>false</LinksUpToDate>
  <CharactersWithSpaces>6097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2023-11-24T00:39:56Z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015386016AC44714BB4CF2FA91121C67_13</vt:lpwstr>
  </property>
</Properties>
</file>