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宜昌市中心人民医院对信息管理部机房设备维护配件及服务采购</w:t>
      </w:r>
      <w:r>
        <w:rPr>
          <w:rFonts w:hint="eastAsia"/>
          <w:color w:val="000000"/>
          <w:sz w:val="28"/>
          <w:szCs w:val="28"/>
        </w:rPr>
        <w:t>项目</w:t>
      </w:r>
      <w:r>
        <w:rPr>
          <w:rFonts w:hint="eastAsia"/>
          <w:sz w:val="28"/>
          <w:szCs w:val="28"/>
        </w:rPr>
        <w:t>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w:t>
      </w:r>
      <w:r>
        <w:rPr>
          <w:color w:val="000000"/>
          <w:sz w:val="28"/>
          <w:szCs w:val="28"/>
        </w:rPr>
        <w:t>-</w:t>
      </w:r>
      <w:r>
        <w:rPr>
          <w:rFonts w:hint="eastAsia"/>
          <w:color w:val="000000"/>
          <w:sz w:val="28"/>
          <w:szCs w:val="28"/>
          <w:lang w:val="en-US" w:eastAsia="zh-CN"/>
        </w:rPr>
        <w:t>A3004</w:t>
      </w:r>
    </w:p>
    <w:p>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信息管理部机房设备维护配件及服务采购</w:t>
      </w:r>
      <w:r>
        <w:rPr>
          <w:rFonts w:hint="eastAsia"/>
          <w:color w:val="000000"/>
          <w:sz w:val="28"/>
          <w:szCs w:val="28"/>
        </w:rPr>
        <w:t>项目</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w:t>
      </w:r>
      <w:r>
        <w:rPr>
          <w:rFonts w:hint="eastAsia"/>
          <w:sz w:val="28"/>
          <w:szCs w:val="28"/>
        </w:rPr>
        <w:t>zxyy.com</w:t>
      </w:r>
      <w:r>
        <w:rPr>
          <w:sz w:val="28"/>
          <w:szCs w:val="28"/>
        </w:rPr>
        <w:t>/</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1</w:t>
      </w:r>
      <w:r>
        <w:rPr>
          <w:rFonts w:hint="eastAsia"/>
          <w:color w:val="FF0000"/>
          <w:sz w:val="28"/>
          <w:szCs w:val="28"/>
        </w:rPr>
        <w:t>月</w:t>
      </w:r>
      <w:r>
        <w:rPr>
          <w:rFonts w:hint="eastAsia"/>
          <w:color w:val="FF0000"/>
          <w:sz w:val="28"/>
          <w:szCs w:val="28"/>
          <w:lang w:val="en-US" w:eastAsia="zh-CN"/>
        </w:rPr>
        <w:t>25</w:t>
      </w:r>
      <w:bookmarkStart w:id="8" w:name="_GoBack"/>
      <w:bookmarkEnd w:id="8"/>
      <w:r>
        <w:rPr>
          <w:rFonts w:hint="eastAsia"/>
          <w:color w:val="FF0000"/>
          <w:sz w:val="28"/>
          <w:szCs w:val="28"/>
        </w:rPr>
        <w:t>日</w:t>
      </w:r>
      <w:r>
        <w:rPr>
          <w:rFonts w:hint="eastAsia"/>
          <w:color w:val="FF0000"/>
          <w:sz w:val="28"/>
          <w:szCs w:val="28"/>
          <w:lang w:val="en-US" w:eastAsia="zh-CN"/>
        </w:rPr>
        <w:t>17</w:t>
      </w:r>
      <w:r>
        <w:rPr>
          <w:color w:val="FF0000"/>
          <w:sz w:val="28"/>
          <w:szCs w:val="28"/>
        </w:rPr>
        <w:t>:30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b/>
          <w:bCs/>
          <w:sz w:val="28"/>
          <w:szCs w:val="28"/>
        </w:rPr>
        <w:t>宜昌市中心人民医院伍家院区9号楼3楼3</w:t>
      </w:r>
      <w:r>
        <w:rPr>
          <w:rFonts w:hint="eastAsia"/>
          <w:b/>
          <w:bCs/>
          <w:sz w:val="28"/>
          <w:szCs w:val="28"/>
          <w:lang w:val="en-US" w:eastAsia="zh-CN"/>
        </w:rPr>
        <w:t>10</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w:t>
      </w:r>
      <w:r>
        <w:rPr>
          <w:rFonts w:hint="eastAsia"/>
          <w:sz w:val="28"/>
          <w:szCs w:val="28"/>
        </w:rPr>
        <w:t>zxyy</w:t>
      </w:r>
      <w:r>
        <w:rPr>
          <w:sz w:val="28"/>
          <w:szCs w:val="28"/>
        </w:rPr>
        <w:t>.com/</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人：赵老师</w:t>
      </w:r>
      <w:r>
        <w:rPr>
          <w:rFonts w:hint="eastAsia"/>
          <w:sz w:val="28"/>
          <w:szCs w:val="28"/>
          <w:lang w:eastAsia="zh-CN"/>
        </w:rPr>
        <w:t>（</w:t>
      </w:r>
      <w:r>
        <w:rPr>
          <w:rFonts w:hint="eastAsia"/>
          <w:sz w:val="28"/>
          <w:szCs w:val="28"/>
          <w:lang w:val="en-US" w:eastAsia="zh-CN"/>
        </w:rPr>
        <w:t>信息管理部</w:t>
      </w:r>
      <w:r>
        <w:rPr>
          <w:rFonts w:hint="eastAsia"/>
          <w:sz w:val="28"/>
          <w:szCs w:val="28"/>
          <w:lang w:eastAsia="zh-CN"/>
        </w:rPr>
        <w:t>）</w:t>
      </w:r>
      <w:r>
        <w:rPr>
          <w:rFonts w:hint="eastAsia"/>
          <w:sz w:val="28"/>
          <w:szCs w:val="28"/>
        </w:rPr>
        <w:t>/</w:t>
      </w:r>
      <w:r>
        <w:rPr>
          <w:rFonts w:hint="eastAsia"/>
          <w:sz w:val="28"/>
          <w:szCs w:val="28"/>
          <w:lang w:val="en-US" w:eastAsia="zh-CN"/>
        </w:rPr>
        <w:t>高</w:t>
      </w:r>
      <w:r>
        <w:rPr>
          <w:rFonts w:hint="eastAsia"/>
          <w:sz w:val="28"/>
          <w:szCs w:val="28"/>
        </w:rPr>
        <w:t>老师</w:t>
      </w:r>
    </w:p>
    <w:p>
      <w:pPr>
        <w:ind w:firstLine="560" w:firstLineChars="200"/>
        <w:jc w:val="left"/>
        <w:rPr>
          <w:rFonts w:hint="default" w:ascii="宋体" w:hAnsi="宋体" w:eastAsia="宋体" w:cs="黑体"/>
          <w:sz w:val="28"/>
          <w:szCs w:val="28"/>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olor w:val="FF0000"/>
          <w:sz w:val="28"/>
          <w:szCs w:val="28"/>
          <w:highlight w:val="green"/>
        </w:rPr>
        <w:t xml:space="preserve">0717-6483506 </w:t>
      </w:r>
      <w:r>
        <w:rPr>
          <w:rFonts w:hint="eastAsia" w:ascii="宋体" w:hAnsi="宋体"/>
          <w:color w:val="FF0000"/>
          <w:sz w:val="28"/>
          <w:szCs w:val="28"/>
          <w:highlight w:val="green"/>
        </w:rPr>
        <w:t>13972004909</w:t>
      </w:r>
      <w:r>
        <w:rPr>
          <w:rFonts w:ascii="宋体" w:hAnsi="宋体"/>
          <w:sz w:val="28"/>
          <w:szCs w:val="28"/>
        </w:rPr>
        <w:t>/</w:t>
      </w:r>
      <w:r>
        <w:rPr>
          <w:rFonts w:hint="eastAsia" w:ascii="宋体" w:hAnsi="宋体"/>
          <w:sz w:val="28"/>
          <w:szCs w:val="28"/>
          <w:lang w:val="en-US" w:eastAsia="zh-CN"/>
        </w:rPr>
        <w:t>13997662875</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pPr>
        <w:rPr>
          <w:rFonts w:ascii="宋体" w:hAnsi="宋体" w:cs="Times New Roman"/>
          <w:b/>
          <w:bCs/>
          <w:sz w:val="28"/>
          <w:szCs w:val="28"/>
        </w:rPr>
      </w:pPr>
      <w:r>
        <w:rPr>
          <w:rFonts w:hint="eastAsia" w:ascii="宋体" w:hAnsi="宋体" w:cs="宋体"/>
          <w:b/>
          <w:bCs/>
          <w:sz w:val="28"/>
          <w:szCs w:val="28"/>
        </w:rPr>
        <w:t>一、采购内容</w:t>
      </w:r>
    </w:p>
    <w:p>
      <w:pPr>
        <w:ind w:firstLine="560" w:firstLineChars="200"/>
        <w:rPr>
          <w:rFonts w:ascii="宋体" w:hAnsi="宋体" w:cs="Times New Roman"/>
          <w:sz w:val="28"/>
          <w:szCs w:val="28"/>
        </w:rPr>
      </w:pPr>
      <w:r>
        <w:rPr>
          <w:rFonts w:ascii="宋体" w:hAnsi="宋体" w:cs="宋体"/>
          <w:sz w:val="28"/>
          <w:szCs w:val="28"/>
        </w:rPr>
        <w:t>1</w:t>
      </w:r>
      <w:r>
        <w:rPr>
          <w:rFonts w:hint="eastAsia" w:ascii="宋体" w:hAnsi="宋体" w:cs="宋体"/>
          <w:sz w:val="28"/>
          <w:szCs w:val="28"/>
        </w:rPr>
        <w:t>、项目编号：YCZXYYZB-2024-A3004</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sz w:val="28"/>
          <w:szCs w:val="28"/>
        </w:rPr>
        <w:t>信息管理部机房设备维护配件及服务采购</w:t>
      </w:r>
      <w:r>
        <w:rPr>
          <w:rFonts w:hint="eastAsia" w:ascii="宋体" w:hAnsi="宋体"/>
          <w:sz w:val="28"/>
          <w:szCs w:val="28"/>
        </w:rPr>
        <w:t>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ascii="宋体" w:hAnsi="宋体" w:cs="宋体"/>
          <w:color w:val="FF0000"/>
          <w:kern w:val="0"/>
          <w:sz w:val="28"/>
          <w:szCs w:val="28"/>
        </w:rPr>
        <w:t>96000</w:t>
      </w:r>
      <w:r>
        <w:rPr>
          <w:rFonts w:hint="eastAsia" w:ascii="宋体" w:hAnsi="宋体" w:cs="宋体"/>
          <w:kern w:val="0"/>
          <w:sz w:val="28"/>
          <w:szCs w:val="28"/>
        </w:rPr>
        <w:t>元，超过此价格为无效投标。</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cs="宋体"/>
          <w:bCs/>
          <w:color w:val="FF0000"/>
          <w:kern w:val="0"/>
          <w:sz w:val="28"/>
          <w:szCs w:val="28"/>
        </w:rPr>
      </w:pPr>
      <w:r>
        <w:rPr>
          <w:rFonts w:hint="eastAsia" w:ascii="宋体" w:hAnsi="宋体" w:cs="宋体"/>
          <w:bCs/>
          <w:kern w:val="0"/>
          <w:sz w:val="28"/>
          <w:szCs w:val="28"/>
        </w:rPr>
        <w:t>我院机房核心设备包含X86服务器、Power服务器、两地三中心存储及网络设备等，目前大部分设备使用年限已超过免费维护期，已到故障高发期。</w:t>
      </w:r>
      <w:r>
        <w:rPr>
          <w:rFonts w:ascii="宋体" w:hAnsi="宋体" w:cs="宋体"/>
          <w:bCs/>
          <w:kern w:val="0"/>
          <w:sz w:val="28"/>
          <w:szCs w:val="28"/>
        </w:rPr>
        <w:t>为保障核心设备故障发生后的及时修复，确保各系统的稳定运行，拟采购一部分常规配件</w:t>
      </w:r>
      <w:r>
        <w:rPr>
          <w:rFonts w:hint="eastAsia" w:ascii="宋体" w:hAnsi="宋体" w:cs="宋体"/>
          <w:bCs/>
          <w:kern w:val="0"/>
          <w:sz w:val="28"/>
          <w:szCs w:val="28"/>
        </w:rPr>
        <w:t>及更换维修服务</w:t>
      </w:r>
      <w:r>
        <w:rPr>
          <w:rFonts w:ascii="宋体" w:hAnsi="宋体" w:cs="宋体"/>
          <w:bCs/>
          <w:kern w:val="0"/>
          <w:sz w:val="28"/>
          <w:szCs w:val="28"/>
        </w:rPr>
        <w:t>，以便发生故障时及时</w:t>
      </w:r>
      <w:r>
        <w:rPr>
          <w:rFonts w:hint="eastAsia" w:ascii="宋体" w:hAnsi="宋体" w:cs="宋体"/>
          <w:bCs/>
          <w:kern w:val="0"/>
          <w:sz w:val="28"/>
          <w:szCs w:val="28"/>
        </w:rPr>
        <w:t>修复。</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10"/>
        <w:tblW w:w="8000" w:type="dxa"/>
        <w:tblInd w:w="98" w:type="dxa"/>
        <w:tblLayout w:type="autofit"/>
        <w:tblCellMar>
          <w:top w:w="0" w:type="dxa"/>
          <w:left w:w="108" w:type="dxa"/>
          <w:bottom w:w="0" w:type="dxa"/>
          <w:right w:w="108" w:type="dxa"/>
        </w:tblCellMar>
      </w:tblPr>
      <w:tblGrid>
        <w:gridCol w:w="960"/>
        <w:gridCol w:w="4160"/>
        <w:gridCol w:w="960"/>
        <w:gridCol w:w="960"/>
        <w:gridCol w:w="960"/>
      </w:tblGrid>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序号</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货物/服务名称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备注</w:t>
            </w:r>
          </w:p>
        </w:tc>
      </w:tr>
      <w:tr>
        <w:tblPrEx>
          <w:tblCellMar>
            <w:top w:w="0" w:type="dxa"/>
            <w:left w:w="108" w:type="dxa"/>
            <w:bottom w:w="0" w:type="dxa"/>
            <w:right w:w="108" w:type="dxa"/>
          </w:tblCellMar>
        </w:tblPrEx>
        <w:trPr>
          <w:trHeight w:val="3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DELL服务器硬盘600G SAS 15K</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VNX5500 Cache保护电池</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VNX5500硬盘600G SAS 10K</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4</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VNX5500硬盘4T NLSAS 7.2K</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5</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V7000存储硬盘4TB NLSAS 7.2K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6</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IBM 服务器硬盘2.5寸 300G SAS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7</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Vplex Cache保护电池</w:t>
            </w:r>
          </w:p>
        </w:tc>
        <w:tc>
          <w:tcPr>
            <w:tcW w:w="0" w:type="auto"/>
            <w:tcBorders>
              <w:top w:val="nil"/>
              <w:left w:val="nil"/>
              <w:bottom w:val="nil"/>
              <w:right w:val="nil"/>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8</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华为（华三）万兆光模块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9</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华为（华三）千兆光模块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10</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IBM 600G SAS 15K硬盘</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11</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IBM 1TB SAS 3.5寸硬盘</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12</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16G服务器内存</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13</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X3650M4 500G 2.5寸 sata硬盘</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14</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X3650M4 1T 2.5寸 sata硬盘</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15</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X240服务器主板</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16</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P260服务器主板</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17</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P260 170G SSD硬盘</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18</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VSP GXX0 电源</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19</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8G 光纤交换机模块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20</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16G光纤交换机模块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21</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32G 服务器内存</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22</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64G 服务器内存</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23</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服务器电源</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24</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双端口服务器万兆网卡</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25</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FlexSystem 电源</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26</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X240 32G 内存</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27</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VSP GXX0 2.4T 10K SAS硬盘</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28</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VSP GXX0 BKM</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29</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VSP GXX0 CFM</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30</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VSP GXX0 CTL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MS Sans Serif" w:hAnsi="MS Sans Serif" w:eastAsia="MS Sans Serif" w:cs="MS Sans Serif"/>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31</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VSP GXX0 1.9T SSD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MS Sans Serif" w:hAnsi="MS Sans Serif" w:eastAsia="MS Sans Serif" w:cs="MS Sans Serif"/>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32</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VSP GXX0 10T 7.2K SAS硬盘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MS Sans Serif" w:hAnsi="MS Sans Serif" w:eastAsia="MS Sans Serif" w:cs="MS Sans Serif"/>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33</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S824 600G SAS硬盘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MS Sans Serif" w:hAnsi="MS Sans Serif" w:eastAsia="MS Sans Serif" w:cs="MS Sans Serif"/>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34</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S824电源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MS Sans Serif" w:hAnsi="MS Sans Serif" w:eastAsia="MS Sans Serif" w:cs="MS Sans Serif"/>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35</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S824 64G DDR4内存</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MS Sans Serif" w:hAnsi="MS Sans Serif" w:eastAsia="MS Sans Serif" w:cs="MS Sans Serif"/>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36</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EJ0T硬盘背板</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MS Sans Serif" w:hAnsi="MS Sans Serif" w:eastAsia="MS Sans Serif" w:cs="MS Sans Serif"/>
                <w:color w:val="000000"/>
                <w:sz w:val="28"/>
                <w:szCs w:val="28"/>
              </w:rPr>
            </w:pPr>
          </w:p>
        </w:tc>
      </w:tr>
      <w:tr>
        <w:tblPrEx>
          <w:tblCellMar>
            <w:top w:w="0" w:type="dxa"/>
            <w:left w:w="108" w:type="dxa"/>
            <w:bottom w:w="0" w:type="dxa"/>
            <w:right w:w="108" w:type="dxa"/>
          </w:tblCellMar>
        </w:tblPrEx>
        <w:trPr>
          <w:trHeight w:val="3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37</w:t>
            </w:r>
          </w:p>
        </w:tc>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16G 双口光纤通道卡</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MS Sans Serif" w:hAnsi="MS Sans Serif" w:eastAsia="MS Sans Serif" w:cs="MS Sans Serif"/>
                <w:color w:val="000000"/>
                <w:sz w:val="28"/>
                <w:szCs w:val="28"/>
              </w:rPr>
            </w:pPr>
          </w:p>
        </w:tc>
      </w:tr>
    </w:tbl>
    <w:p>
      <w:pPr>
        <w:autoSpaceDE w:val="0"/>
        <w:autoSpaceDN w:val="0"/>
        <w:adjustRightInd w:val="0"/>
        <w:contextualSpacing/>
        <w:outlineLvl w:val="0"/>
        <w:rPr>
          <w:rFonts w:ascii="宋体" w:hAnsi="宋体"/>
          <w:b/>
          <w:sz w:val="28"/>
          <w:szCs w:val="28"/>
        </w:rPr>
      </w:pPr>
    </w:p>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10"/>
        <w:tblW w:w="52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327"/>
        <w:gridCol w:w="4034"/>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序号</w:t>
            </w:r>
          </w:p>
        </w:tc>
        <w:tc>
          <w:tcPr>
            <w:tcW w:w="1851" w:type="pct"/>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货物/服务名称</w:t>
            </w:r>
          </w:p>
        </w:tc>
        <w:tc>
          <w:tcPr>
            <w:tcW w:w="2244" w:type="pct"/>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技术规格参数、</w:t>
            </w:r>
            <w:r>
              <w:rPr>
                <w:rFonts w:hint="eastAsia" w:hAnsi="宋体"/>
                <w:spacing w:val="2"/>
                <w:sz w:val="28"/>
                <w:szCs w:val="28"/>
              </w:rPr>
              <w:t>服务要求</w:t>
            </w:r>
          </w:p>
        </w:tc>
        <w:tc>
          <w:tcPr>
            <w:tcW w:w="472" w:type="pct"/>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1851" w:type="pct"/>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DELL服务器硬盘600G SAS 15K</w:t>
            </w:r>
          </w:p>
        </w:tc>
        <w:tc>
          <w:tcPr>
            <w:tcW w:w="2244" w:type="pct"/>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原装DELL 600G 3.5寸15K服务器硬盘</w:t>
            </w:r>
          </w:p>
        </w:tc>
        <w:tc>
          <w:tcPr>
            <w:tcW w:w="472" w:type="pct"/>
            <w:shd w:val="clear" w:color="auto" w:fill="auto"/>
            <w:vAlign w:val="bottom"/>
          </w:tcPr>
          <w:p>
            <w:pPr>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31" w:type="pct"/>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w:t>
            </w:r>
          </w:p>
        </w:tc>
        <w:tc>
          <w:tcPr>
            <w:tcW w:w="1851" w:type="pct"/>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VNX5500 cache保护电池</w:t>
            </w:r>
          </w:p>
        </w:tc>
        <w:tc>
          <w:tcPr>
            <w:tcW w:w="2244" w:type="pct"/>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EMC VNX5500 1200W Cache保护后备式电池</w:t>
            </w:r>
          </w:p>
        </w:tc>
        <w:tc>
          <w:tcPr>
            <w:tcW w:w="472" w:type="pct"/>
            <w:shd w:val="clear" w:color="auto" w:fill="auto"/>
            <w:vAlign w:val="bottom"/>
          </w:tcPr>
          <w:p>
            <w:pPr>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VNX5500硬盘600G SAS 10K</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原装EMC VNX5500 600G 3.5寸10K硬盘</w:t>
            </w:r>
          </w:p>
        </w:tc>
        <w:tc>
          <w:tcPr>
            <w:tcW w:w="472" w:type="pct"/>
            <w:shd w:val="clear" w:color="auto" w:fill="auto"/>
            <w:vAlign w:val="bottom"/>
          </w:tcPr>
          <w:p>
            <w:pPr>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4</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VNX5500硬盘4T NLSAS 7.2K</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原装EMC VNX5500 4T 3.5寸7.2K硬盘</w:t>
            </w:r>
          </w:p>
        </w:tc>
        <w:tc>
          <w:tcPr>
            <w:tcW w:w="472" w:type="pct"/>
            <w:shd w:val="clear" w:color="auto" w:fill="auto"/>
            <w:vAlign w:val="bottom"/>
          </w:tcPr>
          <w:p>
            <w:pPr>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31" w:type="pct"/>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5</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V7000存储硬盘4TB NLSAS 7.2K</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原装IBM V7000 4TB NLSAS 7.2K存储硬盘</w:t>
            </w:r>
          </w:p>
        </w:tc>
        <w:tc>
          <w:tcPr>
            <w:tcW w:w="472" w:type="pct"/>
            <w:shd w:val="clear" w:color="auto" w:fill="auto"/>
            <w:vAlign w:val="bottom"/>
          </w:tcPr>
          <w:p>
            <w:pPr>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31" w:type="pct"/>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6</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IBM 服务器硬盘2.5寸 300G SAS</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原装IBM 300G SAS 2.5寸10K服务器硬盘</w:t>
            </w:r>
          </w:p>
        </w:tc>
        <w:tc>
          <w:tcPr>
            <w:tcW w:w="472" w:type="pct"/>
            <w:shd w:val="clear" w:color="auto" w:fill="auto"/>
            <w:vAlign w:val="bottom"/>
          </w:tcPr>
          <w:p>
            <w:pPr>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7</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Vplex Cache保护电池</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EMC Vplex 2200W Cache保护后备式电池</w:t>
            </w:r>
          </w:p>
        </w:tc>
        <w:tc>
          <w:tcPr>
            <w:tcW w:w="472" w:type="pct"/>
            <w:shd w:val="clear" w:color="auto" w:fill="auto"/>
            <w:vAlign w:val="bottom"/>
          </w:tcPr>
          <w:p>
            <w:pPr>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31" w:type="pct"/>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8</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华为（华三）万兆光模块</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华为（华三）原装1310nm，DFB 10KM万兆光模块</w:t>
            </w:r>
          </w:p>
        </w:tc>
        <w:tc>
          <w:tcPr>
            <w:tcW w:w="472" w:type="pct"/>
            <w:shd w:val="clear" w:color="auto" w:fill="auto"/>
            <w:vAlign w:val="bottom"/>
          </w:tcPr>
          <w:p>
            <w:pPr>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31" w:type="pct"/>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9</w:t>
            </w:r>
          </w:p>
        </w:tc>
        <w:tc>
          <w:tcPr>
            <w:tcW w:w="1851" w:type="pct"/>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华为（华三）千兆光模块</w:t>
            </w:r>
          </w:p>
        </w:tc>
        <w:tc>
          <w:tcPr>
            <w:tcW w:w="2244" w:type="pct"/>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华为（华三）原装1310nm，DFB 10KM千兆光模块</w:t>
            </w:r>
          </w:p>
        </w:tc>
        <w:tc>
          <w:tcPr>
            <w:tcW w:w="472" w:type="pct"/>
            <w:shd w:val="clear" w:color="auto" w:fill="auto"/>
            <w:vAlign w:val="bottom"/>
          </w:tcPr>
          <w:p>
            <w:pPr>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10</w:t>
            </w:r>
          </w:p>
        </w:tc>
        <w:tc>
          <w:tcPr>
            <w:tcW w:w="1851" w:type="pct"/>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IBM 600G SAS 15K硬盘</w:t>
            </w:r>
          </w:p>
        </w:tc>
        <w:tc>
          <w:tcPr>
            <w:tcW w:w="2244" w:type="pct"/>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原装IBM 600G SAS 15K硬盘</w:t>
            </w:r>
          </w:p>
        </w:tc>
        <w:tc>
          <w:tcPr>
            <w:tcW w:w="472" w:type="pct"/>
            <w:shd w:val="clear" w:color="auto" w:fill="auto"/>
            <w:vAlign w:val="bottom"/>
          </w:tcPr>
          <w:p>
            <w:pPr>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11</w:t>
            </w:r>
          </w:p>
        </w:tc>
        <w:tc>
          <w:tcPr>
            <w:tcW w:w="1851" w:type="pct"/>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IBM 1TB SAS 3.5寸硬盘</w:t>
            </w:r>
          </w:p>
        </w:tc>
        <w:tc>
          <w:tcPr>
            <w:tcW w:w="2244" w:type="pct"/>
            <w:shd w:val="clear" w:color="auto" w:fill="FFFFFF"/>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原装IBM 1TB SAS 3.5寸硬盘</w:t>
            </w:r>
          </w:p>
        </w:tc>
        <w:tc>
          <w:tcPr>
            <w:tcW w:w="472" w:type="pct"/>
            <w:shd w:val="clear" w:color="auto" w:fill="auto"/>
            <w:vAlign w:val="bottom"/>
          </w:tcPr>
          <w:p>
            <w:pPr>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12</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16G服务器内存</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16G原装DDR4 2933服务器内存</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13</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X3650M4 500G 2.5寸 SATA硬盘</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X3650M4 500G 2.5寸 SATA硬盘</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14</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X3650M4 1T 2.5寸 SATA硬盘</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X3650M4 1T 2.5寸 SATA硬盘</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15</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X240服务器主板</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IBM X240服务器主板，万兆接口</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16</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P260服务器主板</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P260服务器主板（带PowerVM授权）</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17</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P260 170G SSD硬盘</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P260 170G 小机1.8寸SSD硬盘</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18</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VSP GXX0 电源</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原装VSP GXX0存储电源，最大输出电流74A</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19</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8G 光纤交换机模块</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原装博科8Gb光纤交换机光模块</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20</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16G光纤交换机模块</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原装博科16Gb光纤交换机光模块</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21</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32G 服务器内存</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原装32G 2933 DDR4服务器内存</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22</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64G 服务器内存</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原装64G 2933 DDR4服务器内存</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23</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服务器电源</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原装服务器电源</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24</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双端口服务器万兆网卡</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双端口服务器PCI-E万兆网卡</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25</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FlexSystem 电源</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FlexSystem 2500W刀箱电源</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26</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X240 32G 内存</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原装X240 32G DDR4 2933服务器内存</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27</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VSP GXX0 2.4T 10K SAS硬盘</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VSP GXX0 2.4T 10K 3.5寸 SAS硬盘</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28</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VSP GXX0 BKM</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VSP GXX0 BKM</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29</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VSP GXX0 CFM</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VSP GXX0 CFM</w:t>
            </w:r>
          </w:p>
        </w:tc>
        <w:tc>
          <w:tcPr>
            <w:tcW w:w="472" w:type="pct"/>
            <w:shd w:val="clear" w:color="auto" w:fill="auto"/>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30</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VSP GXX0 CTL</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VSP GXX0 CTL</w:t>
            </w:r>
          </w:p>
        </w:tc>
        <w:tc>
          <w:tcPr>
            <w:tcW w:w="472" w:type="pct"/>
            <w:shd w:val="clear" w:color="auto" w:fill="auto"/>
            <w:noWrap/>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31</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VSP GXX0 1.9T SSD</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VSP GXX0 1.9T SSD</w:t>
            </w:r>
          </w:p>
        </w:tc>
        <w:tc>
          <w:tcPr>
            <w:tcW w:w="472" w:type="pct"/>
            <w:shd w:val="clear" w:color="auto" w:fill="auto"/>
            <w:noWrap/>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32</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VSP GXX0 10T 7.2K SAS硬盘</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VSP GXX0 10T 7.2K SAS硬盘</w:t>
            </w:r>
          </w:p>
        </w:tc>
        <w:tc>
          <w:tcPr>
            <w:tcW w:w="472" w:type="pct"/>
            <w:shd w:val="clear" w:color="auto" w:fill="auto"/>
            <w:noWrap/>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33</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S824 600G SAS硬盘</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原装S824 600G 2.5寸 10K SAS硬盘</w:t>
            </w:r>
          </w:p>
        </w:tc>
        <w:tc>
          <w:tcPr>
            <w:tcW w:w="472" w:type="pct"/>
            <w:shd w:val="clear" w:color="auto" w:fill="auto"/>
            <w:noWrap/>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34</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S824电源</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原装S824 900W电源</w:t>
            </w:r>
          </w:p>
        </w:tc>
        <w:tc>
          <w:tcPr>
            <w:tcW w:w="472" w:type="pct"/>
            <w:shd w:val="clear" w:color="auto" w:fill="auto"/>
            <w:noWrap/>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35</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S824 64G DDR4内存</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原装S824 DDR4内存模块</w:t>
            </w:r>
          </w:p>
        </w:tc>
        <w:tc>
          <w:tcPr>
            <w:tcW w:w="472" w:type="pct"/>
            <w:shd w:val="clear" w:color="auto" w:fill="auto"/>
            <w:noWrap/>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36</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EJ0T硬盘背板</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原装EJ0T 12槽位硬盘背板</w:t>
            </w:r>
          </w:p>
        </w:tc>
        <w:tc>
          <w:tcPr>
            <w:tcW w:w="472" w:type="pct"/>
            <w:shd w:val="clear" w:color="auto" w:fill="auto"/>
            <w:noWrap/>
            <w:vAlign w:val="bottom"/>
          </w:tcPr>
          <w:p>
            <w:pPr>
              <w:widowControl/>
              <w:jc w:val="left"/>
              <w:textAlignment w:val="center"/>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37</w:t>
            </w:r>
          </w:p>
        </w:tc>
        <w:tc>
          <w:tcPr>
            <w:tcW w:w="1851"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16G 双口光纤通道卡</w:t>
            </w:r>
          </w:p>
        </w:tc>
        <w:tc>
          <w:tcPr>
            <w:tcW w:w="2244" w:type="pct"/>
            <w:shd w:val="clear" w:color="auto" w:fill="FFFFFF"/>
            <w:vAlign w:val="center"/>
          </w:tcPr>
          <w:p>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16Gb服务器 双口光纤通道卡</w:t>
            </w:r>
          </w:p>
        </w:tc>
        <w:tc>
          <w:tcPr>
            <w:tcW w:w="472" w:type="pct"/>
            <w:shd w:val="clear" w:color="auto" w:fill="auto"/>
            <w:noWrap/>
            <w:vAlign w:val="bottom"/>
          </w:tcPr>
          <w:p>
            <w:pPr>
              <w:widowControl/>
              <w:jc w:val="left"/>
              <w:textAlignment w:val="center"/>
              <w:rPr>
                <w:rFonts w:ascii="宋体" w:hAnsi="宋体" w:cs="宋体"/>
                <w:color w:val="000000"/>
                <w:kern w:val="0"/>
                <w:sz w:val="28"/>
                <w:szCs w:val="28"/>
                <w:lang w:bidi="ar"/>
              </w:rPr>
            </w:pPr>
          </w:p>
        </w:tc>
      </w:tr>
    </w:tbl>
    <w:p>
      <w:pPr>
        <w:contextualSpacing/>
        <w:rPr>
          <w:rFonts w:ascii="宋体" w:hAnsi="宋体" w:cs="Courier New"/>
          <w:b/>
          <w:color w:val="FF0000"/>
          <w:spacing w:val="2"/>
          <w:sz w:val="28"/>
          <w:szCs w:val="28"/>
          <w:highlight w:val="green"/>
        </w:rPr>
      </w:pPr>
    </w:p>
    <w:p>
      <w:pPr>
        <w:jc w:val="left"/>
        <w:rPr>
          <w:rFonts w:ascii="宋体" w:hAnsi="宋体" w:cs="宋体"/>
          <w:b/>
          <w:kern w:val="0"/>
          <w:sz w:val="28"/>
          <w:szCs w:val="28"/>
        </w:rPr>
      </w:pPr>
      <w:r>
        <w:rPr>
          <w:rFonts w:hint="eastAsia" w:ascii="宋体" w:hAnsi="宋体" w:cs="宋体"/>
          <w:b/>
          <w:kern w:val="0"/>
          <w:sz w:val="28"/>
          <w:szCs w:val="28"/>
        </w:rPr>
        <w:t>3.</w:t>
      </w:r>
      <w:r>
        <w:rPr>
          <w:rFonts w:ascii="宋体" w:hAnsi="宋体" w:cs="宋体"/>
          <w:b/>
          <w:kern w:val="0"/>
          <w:sz w:val="28"/>
          <w:szCs w:val="28"/>
        </w:rPr>
        <w:t>3</w:t>
      </w:r>
      <w:r>
        <w:rPr>
          <w:rFonts w:hint="eastAsia" w:ascii="宋体" w:hAnsi="宋体" w:cs="宋体"/>
          <w:b/>
          <w:kern w:val="0"/>
          <w:sz w:val="28"/>
          <w:szCs w:val="28"/>
        </w:rPr>
        <w:t>商务要求</w:t>
      </w:r>
    </w:p>
    <w:p>
      <w:pPr>
        <w:ind w:firstLine="560" w:firstLineChars="200"/>
        <w:rPr>
          <w:rFonts w:ascii="宋体" w:hAnsi="宋体" w:cs="Courier New"/>
          <w:spacing w:val="2"/>
          <w:sz w:val="28"/>
          <w:szCs w:val="28"/>
        </w:rPr>
      </w:pPr>
      <w:r>
        <w:rPr>
          <w:rFonts w:hint="eastAsia" w:ascii="宋体" w:hAnsi="宋体" w:cs="宋体"/>
          <w:kern w:val="0"/>
          <w:sz w:val="28"/>
          <w:szCs w:val="28"/>
        </w:rPr>
        <w:t>1、</w:t>
      </w:r>
      <w:r>
        <w:rPr>
          <w:rFonts w:hint="eastAsia" w:ascii="宋体" w:hAnsi="宋体" w:cs="宋体"/>
          <w:bCs/>
          <w:kern w:val="0"/>
          <w:sz w:val="28"/>
          <w:szCs w:val="28"/>
        </w:rPr>
        <w:t>配件</w:t>
      </w:r>
      <w:r>
        <w:rPr>
          <w:rFonts w:ascii="宋体" w:hAnsi="宋体" w:cs="宋体"/>
          <w:bCs/>
          <w:kern w:val="0"/>
          <w:sz w:val="28"/>
          <w:szCs w:val="28"/>
        </w:rPr>
        <w:t>按需供货，据实结算</w:t>
      </w:r>
      <w:r>
        <w:rPr>
          <w:rFonts w:hint="eastAsia" w:ascii="宋体" w:hAnsi="宋体" w:cs="宋体"/>
          <w:bCs/>
          <w:kern w:val="0"/>
          <w:sz w:val="28"/>
          <w:szCs w:val="28"/>
        </w:rPr>
        <w:t>。</w:t>
      </w:r>
      <w:r>
        <w:rPr>
          <w:rFonts w:hint="eastAsia" w:ascii="宋体" w:hAnsi="宋体" w:cs="Courier New"/>
          <w:spacing w:val="2"/>
          <w:sz w:val="28"/>
          <w:szCs w:val="28"/>
        </w:rPr>
        <w:t>报价包括配件及</w:t>
      </w:r>
      <w:r>
        <w:rPr>
          <w:rFonts w:ascii="宋体" w:hAnsi="宋体" w:cs="Courier New"/>
          <w:spacing w:val="2"/>
          <w:sz w:val="28"/>
          <w:szCs w:val="28"/>
        </w:rPr>
        <w:t>维修、更换、</w:t>
      </w:r>
      <w:r>
        <w:rPr>
          <w:rFonts w:hint="eastAsia" w:ascii="宋体" w:hAnsi="宋体" w:cs="Courier New"/>
          <w:spacing w:val="2"/>
          <w:sz w:val="28"/>
          <w:szCs w:val="28"/>
        </w:rPr>
        <w:t>调试、验收合格等一切费用（所供配件必须包含故障诊断、现场更换及调试至正常运行状态服务），如供应商成交后发现未预见事宜，可能需要增加的设备材料或其它费用全部由成交供应商自行解决，采购人不再追加价款。</w:t>
      </w:r>
    </w:p>
    <w:p>
      <w:pPr>
        <w:ind w:firstLine="560" w:firstLineChars="200"/>
        <w:jc w:val="left"/>
        <w:rPr>
          <w:rFonts w:ascii="宋体" w:hAnsi="宋体" w:cs="宋体"/>
          <w:kern w:val="0"/>
          <w:sz w:val="28"/>
          <w:szCs w:val="28"/>
        </w:rPr>
      </w:pPr>
      <w:r>
        <w:rPr>
          <w:rFonts w:hint="eastAsia" w:ascii="宋体" w:hAnsi="宋体" w:cs="宋体"/>
          <w:kern w:val="0"/>
          <w:sz w:val="28"/>
          <w:szCs w:val="28"/>
        </w:rPr>
        <w:t>2、在提出设备故障维修申请后，应在1小时内到达现场进行故障原因判断，最长三天内带备件到现场对故障设备进行维修更换，直至设备运行正常。</w:t>
      </w:r>
    </w:p>
    <w:p>
      <w:pPr>
        <w:ind w:firstLine="560" w:firstLineChars="200"/>
        <w:jc w:val="left"/>
        <w:rPr>
          <w:rFonts w:ascii="宋体" w:hAnsi="宋体" w:cs="宋体"/>
          <w:kern w:val="0"/>
          <w:sz w:val="28"/>
          <w:szCs w:val="28"/>
        </w:rPr>
      </w:pPr>
      <w:r>
        <w:rPr>
          <w:rFonts w:hint="eastAsia" w:ascii="宋体" w:hAnsi="宋体" w:cs="宋体"/>
          <w:kern w:val="0"/>
          <w:sz w:val="28"/>
          <w:szCs w:val="28"/>
        </w:rPr>
        <w:t>3、因医院核心数据库基础平台为Power小型机，且具有PowerVM虚拟化平台 ，为保证医院核心业务系统的正常工作，投标供应商应具备相关技术实力。</w:t>
      </w:r>
    </w:p>
    <w:p>
      <w:pPr>
        <w:ind w:firstLine="560" w:firstLineChars="200"/>
        <w:jc w:val="left"/>
        <w:rPr>
          <w:rFonts w:ascii="宋体" w:hAnsi="宋体" w:cs="宋体"/>
          <w:kern w:val="0"/>
          <w:sz w:val="28"/>
          <w:szCs w:val="28"/>
        </w:rPr>
      </w:pPr>
      <w:r>
        <w:rPr>
          <w:rFonts w:hint="eastAsia" w:ascii="宋体" w:hAnsi="宋体" w:cs="宋体"/>
          <w:kern w:val="0"/>
          <w:sz w:val="28"/>
          <w:szCs w:val="28"/>
        </w:rPr>
        <w:t>4、维修需保证医院所有业务的连续性，保证医院数据完整性、安全性。</w:t>
      </w:r>
      <w:r>
        <w:rPr>
          <w:rFonts w:hint="eastAsia" w:ascii="宋体" w:hAnsi="宋体" w:cs="Courier New"/>
          <w:spacing w:val="2"/>
          <w:sz w:val="28"/>
          <w:szCs w:val="28"/>
        </w:rPr>
        <w:t>如因乙方的维修技术不达标及更换零配件的质量不合格对甲方造成重大损失的，必须对甲方的损失据实赔偿。</w:t>
      </w:r>
    </w:p>
    <w:p>
      <w:pPr>
        <w:ind w:firstLine="560" w:firstLineChars="200"/>
        <w:jc w:val="left"/>
        <w:rPr>
          <w:rFonts w:ascii="宋体" w:hAnsi="宋体" w:cs="宋体"/>
          <w:kern w:val="0"/>
          <w:sz w:val="28"/>
          <w:szCs w:val="28"/>
        </w:rPr>
      </w:pPr>
      <w:r>
        <w:rPr>
          <w:rFonts w:hint="eastAsia" w:ascii="宋体" w:hAnsi="宋体" w:cs="宋体"/>
          <w:kern w:val="0"/>
          <w:sz w:val="28"/>
          <w:szCs w:val="28"/>
        </w:rPr>
        <w:t>5、所供备件必须为故障设备制造商原厂全新备件，质保期不小于一年，并可在制造商官网查询证明所供备件是原厂原装备件，具有原厂保修服务。</w:t>
      </w:r>
    </w:p>
    <w:p>
      <w:pPr>
        <w:jc w:val="left"/>
        <w:rPr>
          <w:rFonts w:ascii="宋体" w:hAnsi="宋体" w:cs="宋体"/>
          <w:b/>
          <w:kern w:val="0"/>
          <w:sz w:val="28"/>
          <w:szCs w:val="28"/>
        </w:rPr>
      </w:pPr>
    </w:p>
    <w:p>
      <w:pPr>
        <w:jc w:val="left"/>
        <w:rPr>
          <w:rFonts w:ascii="宋体" w:hAnsi="宋体" w:cs="宋体"/>
          <w:b/>
          <w:kern w:val="0"/>
          <w:sz w:val="28"/>
          <w:szCs w:val="28"/>
        </w:rPr>
      </w:pPr>
      <w:r>
        <w:rPr>
          <w:rFonts w:hint="eastAsia" w:ascii="宋体" w:hAnsi="宋体" w:cs="宋体"/>
          <w:b/>
          <w:kern w:val="0"/>
          <w:sz w:val="28"/>
          <w:szCs w:val="28"/>
        </w:rPr>
        <w:t>四、评审标准</w:t>
      </w:r>
    </w:p>
    <w:p>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9783"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3402"/>
        <w:gridCol w:w="5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7"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审查内容</w:t>
            </w:r>
          </w:p>
        </w:tc>
        <w:tc>
          <w:tcPr>
            <w:tcW w:w="5336" w:type="dxa"/>
            <w:tcBorders>
              <w:lef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具有独立承担民事责任的能力</w:t>
            </w:r>
          </w:p>
        </w:tc>
        <w:tc>
          <w:tcPr>
            <w:tcW w:w="533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主体信用记录</w:t>
            </w:r>
          </w:p>
        </w:tc>
        <w:tc>
          <w:tcPr>
            <w:tcW w:w="533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公正性</w:t>
            </w:r>
          </w:p>
        </w:tc>
        <w:tc>
          <w:tcPr>
            <w:tcW w:w="533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联合体</w:t>
            </w:r>
          </w:p>
        </w:tc>
        <w:tc>
          <w:tcPr>
            <w:tcW w:w="533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投标人名称</w:t>
            </w:r>
          </w:p>
        </w:tc>
        <w:tc>
          <w:tcPr>
            <w:tcW w:w="533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投标文件签署</w:t>
            </w:r>
          </w:p>
        </w:tc>
        <w:tc>
          <w:tcPr>
            <w:tcW w:w="533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533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w:t>
            </w:r>
          </w:p>
        </w:tc>
        <w:tc>
          <w:tcPr>
            <w:tcW w:w="533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采购需求</w:t>
            </w:r>
          </w:p>
        </w:tc>
        <w:tc>
          <w:tcPr>
            <w:tcW w:w="53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其他要求</w:t>
            </w:r>
          </w:p>
        </w:tc>
        <w:tc>
          <w:tcPr>
            <w:tcW w:w="53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76"/>
        <w:gridCol w:w="851"/>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45"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内容</w:t>
            </w:r>
          </w:p>
        </w:tc>
        <w:tc>
          <w:tcPr>
            <w:tcW w:w="1276"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评审因素</w:t>
            </w:r>
          </w:p>
        </w:tc>
        <w:tc>
          <w:tcPr>
            <w:tcW w:w="851"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分值</w:t>
            </w:r>
          </w:p>
        </w:tc>
        <w:tc>
          <w:tcPr>
            <w:tcW w:w="6923"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45" w:type="dxa"/>
            <w:vMerge w:val="restart"/>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商</w:t>
            </w:r>
          </w:p>
          <w:p>
            <w:pPr>
              <w:snapToGrid w:val="0"/>
              <w:spacing w:line="400" w:lineRule="exact"/>
              <w:jc w:val="center"/>
              <w:rPr>
                <w:rFonts w:ascii="宋体" w:hAnsi="宋体" w:cs="宋体"/>
                <w:sz w:val="28"/>
                <w:szCs w:val="28"/>
              </w:rPr>
            </w:pPr>
            <w:r>
              <w:rPr>
                <w:rFonts w:hint="eastAsia" w:ascii="宋体" w:hAnsi="宋体" w:cs="宋体"/>
                <w:sz w:val="28"/>
                <w:szCs w:val="28"/>
              </w:rPr>
              <w:t>务</w:t>
            </w:r>
          </w:p>
          <w:p>
            <w:pPr>
              <w:snapToGrid w:val="0"/>
              <w:spacing w:line="400" w:lineRule="exact"/>
              <w:jc w:val="center"/>
              <w:rPr>
                <w:rFonts w:ascii="宋体" w:hAnsi="宋体" w:cs="宋体"/>
                <w:sz w:val="28"/>
                <w:szCs w:val="28"/>
              </w:rPr>
            </w:pPr>
            <w:r>
              <w:rPr>
                <w:rFonts w:hint="eastAsia" w:ascii="宋体" w:hAnsi="宋体" w:cs="宋体"/>
                <w:sz w:val="28"/>
                <w:szCs w:val="28"/>
              </w:rPr>
              <w:t>评</w:t>
            </w:r>
          </w:p>
          <w:p>
            <w:pPr>
              <w:snapToGrid w:val="0"/>
              <w:spacing w:line="400" w:lineRule="exact"/>
              <w:jc w:val="center"/>
              <w:rPr>
                <w:rFonts w:ascii="宋体" w:hAnsi="宋体" w:cs="宋体"/>
                <w:sz w:val="28"/>
                <w:szCs w:val="28"/>
              </w:rPr>
            </w:pPr>
            <w:r>
              <w:rPr>
                <w:rFonts w:hint="eastAsia" w:ascii="宋体" w:hAnsi="宋体" w:cs="宋体"/>
                <w:sz w:val="28"/>
                <w:szCs w:val="28"/>
              </w:rPr>
              <w:t>审</w:t>
            </w:r>
          </w:p>
        </w:tc>
        <w:tc>
          <w:tcPr>
            <w:tcW w:w="1276"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类似业绩</w:t>
            </w:r>
          </w:p>
        </w:tc>
        <w:tc>
          <w:tcPr>
            <w:tcW w:w="851"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20分</w:t>
            </w:r>
          </w:p>
        </w:tc>
        <w:tc>
          <w:tcPr>
            <w:tcW w:w="6923" w:type="dxa"/>
            <w:vAlign w:val="center"/>
          </w:tcPr>
          <w:p>
            <w:pPr>
              <w:pStyle w:val="9"/>
              <w:rPr>
                <w:sz w:val="28"/>
                <w:szCs w:val="28"/>
              </w:rPr>
            </w:pPr>
            <w:r>
              <w:rPr>
                <w:rFonts w:hint="eastAsia"/>
                <w:sz w:val="28"/>
                <w:szCs w:val="28"/>
              </w:rPr>
              <w:t>2020年1月1日至今，投标人具有类似信息化机房运维业绩，提供合同扫描件为有效业绩，每提供一例得5分，最高得20分。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45" w:type="dxa"/>
            <w:vMerge w:val="continue"/>
            <w:vAlign w:val="center"/>
          </w:tcPr>
          <w:p>
            <w:pPr>
              <w:pStyle w:val="4"/>
              <w:adjustRightInd w:val="0"/>
              <w:snapToGrid w:val="0"/>
              <w:spacing w:line="400" w:lineRule="exact"/>
              <w:ind w:left="105" w:leftChars="50" w:right="105" w:rightChars="50"/>
              <w:jc w:val="center"/>
              <w:rPr>
                <w:rFonts w:ascii="宋体" w:hAnsi="宋体" w:cs="宋体"/>
                <w:sz w:val="28"/>
                <w:szCs w:val="28"/>
              </w:rPr>
            </w:pPr>
          </w:p>
        </w:tc>
        <w:tc>
          <w:tcPr>
            <w:tcW w:w="1276" w:type="dxa"/>
            <w:vAlign w:val="center"/>
          </w:tcPr>
          <w:p>
            <w:pPr>
              <w:pStyle w:val="9"/>
              <w:jc w:val="both"/>
              <w:rPr>
                <w:kern w:val="2"/>
                <w:sz w:val="28"/>
                <w:szCs w:val="28"/>
              </w:rPr>
            </w:pPr>
            <w:r>
              <w:rPr>
                <w:rFonts w:hint="eastAsia"/>
                <w:kern w:val="2"/>
                <w:sz w:val="28"/>
                <w:szCs w:val="28"/>
              </w:rPr>
              <w:t>投标人综合实力</w:t>
            </w:r>
          </w:p>
        </w:tc>
        <w:tc>
          <w:tcPr>
            <w:tcW w:w="851"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20分</w:t>
            </w:r>
          </w:p>
        </w:tc>
        <w:tc>
          <w:tcPr>
            <w:tcW w:w="6923" w:type="dxa"/>
          </w:tcPr>
          <w:p>
            <w:pPr>
              <w:pStyle w:val="9"/>
              <w:rPr>
                <w:sz w:val="28"/>
                <w:szCs w:val="28"/>
              </w:rPr>
            </w:pPr>
            <w:r>
              <w:rPr>
                <w:rFonts w:hint="eastAsia"/>
                <w:sz w:val="28"/>
                <w:szCs w:val="28"/>
              </w:rPr>
              <w:t>投标人具有有效的信息技术服务标准（运行维护）三级或以上级别的资质认证证书得10分；具有有效的信息安全服务资质（信息安全服务规范及信息安全服务资质认证实施规则）三级或以上级别的认证证书得10分，最多得10分，不提供不得分，提供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45" w:type="dxa"/>
            <w:vMerge w:val="continue"/>
            <w:vAlign w:val="center"/>
          </w:tcPr>
          <w:p>
            <w:pPr>
              <w:pStyle w:val="4"/>
              <w:adjustRightInd w:val="0"/>
              <w:snapToGrid w:val="0"/>
              <w:spacing w:line="400" w:lineRule="exact"/>
              <w:ind w:left="105" w:leftChars="50" w:right="105" w:rightChars="50"/>
              <w:jc w:val="center"/>
              <w:rPr>
                <w:rFonts w:ascii="宋体" w:hAnsi="宋体" w:cs="宋体"/>
                <w:sz w:val="28"/>
                <w:szCs w:val="28"/>
              </w:rPr>
            </w:pPr>
          </w:p>
        </w:tc>
        <w:tc>
          <w:tcPr>
            <w:tcW w:w="1276" w:type="dxa"/>
            <w:vAlign w:val="center"/>
          </w:tcPr>
          <w:p>
            <w:pPr>
              <w:pStyle w:val="9"/>
              <w:jc w:val="both"/>
              <w:rPr>
                <w:kern w:val="2"/>
                <w:sz w:val="28"/>
                <w:szCs w:val="28"/>
              </w:rPr>
            </w:pPr>
            <w:r>
              <w:rPr>
                <w:rFonts w:hint="eastAsia"/>
                <w:kern w:val="2"/>
                <w:sz w:val="28"/>
                <w:szCs w:val="28"/>
              </w:rPr>
              <w:t>维护人员能力</w:t>
            </w:r>
          </w:p>
        </w:tc>
        <w:tc>
          <w:tcPr>
            <w:tcW w:w="851"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20分</w:t>
            </w:r>
          </w:p>
        </w:tc>
        <w:tc>
          <w:tcPr>
            <w:tcW w:w="6923" w:type="dxa"/>
          </w:tcPr>
          <w:p>
            <w:pPr>
              <w:pStyle w:val="9"/>
              <w:rPr>
                <w:sz w:val="28"/>
                <w:szCs w:val="28"/>
              </w:rPr>
            </w:pPr>
            <w:r>
              <w:rPr>
                <w:rFonts w:hint="eastAsia"/>
                <w:sz w:val="28"/>
                <w:szCs w:val="28"/>
              </w:rPr>
              <w:t>投标人应派遣具有AIX System Administration认证的专业工程师进行现场维护工作，提供相关证书扫描件，并提供供应商近三个月为此工程师缴纳社保证明的得20分，否则不得分。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745"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技</w:t>
            </w:r>
          </w:p>
          <w:p>
            <w:pPr>
              <w:snapToGrid w:val="0"/>
              <w:spacing w:line="400" w:lineRule="exact"/>
              <w:jc w:val="center"/>
              <w:rPr>
                <w:rFonts w:ascii="宋体" w:hAnsi="宋体" w:cs="宋体"/>
                <w:sz w:val="28"/>
                <w:szCs w:val="28"/>
              </w:rPr>
            </w:pPr>
            <w:r>
              <w:rPr>
                <w:rFonts w:hint="eastAsia" w:ascii="宋体" w:hAnsi="宋体" w:cs="宋体"/>
                <w:sz w:val="28"/>
                <w:szCs w:val="28"/>
              </w:rPr>
              <w:t>术</w:t>
            </w:r>
          </w:p>
          <w:p>
            <w:pPr>
              <w:snapToGrid w:val="0"/>
              <w:spacing w:line="400" w:lineRule="exact"/>
              <w:jc w:val="center"/>
              <w:rPr>
                <w:rFonts w:ascii="宋体" w:hAnsi="宋体" w:cs="宋体"/>
                <w:sz w:val="28"/>
                <w:szCs w:val="28"/>
              </w:rPr>
            </w:pPr>
            <w:r>
              <w:rPr>
                <w:rFonts w:hint="eastAsia" w:ascii="宋体" w:hAnsi="宋体" w:cs="宋体"/>
                <w:sz w:val="28"/>
                <w:szCs w:val="28"/>
              </w:rPr>
              <w:t>评</w:t>
            </w:r>
          </w:p>
          <w:p>
            <w:pPr>
              <w:snapToGrid w:val="0"/>
              <w:spacing w:line="400" w:lineRule="exact"/>
              <w:jc w:val="center"/>
              <w:rPr>
                <w:rFonts w:ascii="宋体" w:hAnsi="宋体" w:cs="宋体"/>
                <w:sz w:val="28"/>
                <w:szCs w:val="28"/>
              </w:rPr>
            </w:pPr>
            <w:r>
              <w:rPr>
                <w:rFonts w:hint="eastAsia" w:ascii="宋体" w:hAnsi="宋体" w:cs="宋体"/>
                <w:sz w:val="28"/>
                <w:szCs w:val="28"/>
              </w:rPr>
              <w:t>审</w:t>
            </w:r>
          </w:p>
        </w:tc>
        <w:tc>
          <w:tcPr>
            <w:tcW w:w="1276" w:type="dxa"/>
            <w:vAlign w:val="center"/>
          </w:tcPr>
          <w:p>
            <w:pPr>
              <w:pStyle w:val="9"/>
              <w:jc w:val="center"/>
              <w:rPr>
                <w:kern w:val="2"/>
                <w:sz w:val="28"/>
                <w:szCs w:val="28"/>
              </w:rPr>
            </w:pPr>
            <w:r>
              <w:rPr>
                <w:rFonts w:hint="eastAsia"/>
                <w:kern w:val="2"/>
                <w:sz w:val="28"/>
                <w:szCs w:val="28"/>
              </w:rPr>
              <w:t>售后服务措施</w:t>
            </w:r>
          </w:p>
        </w:tc>
        <w:tc>
          <w:tcPr>
            <w:tcW w:w="851"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10分</w:t>
            </w:r>
          </w:p>
        </w:tc>
        <w:tc>
          <w:tcPr>
            <w:tcW w:w="6923" w:type="dxa"/>
          </w:tcPr>
          <w:p>
            <w:pPr>
              <w:pStyle w:val="9"/>
              <w:rPr>
                <w:sz w:val="28"/>
                <w:szCs w:val="28"/>
              </w:rPr>
            </w:pPr>
            <w:r>
              <w:rPr>
                <w:rFonts w:hint="eastAsia"/>
                <w:sz w:val="28"/>
                <w:szCs w:val="28"/>
              </w:rPr>
              <w:t>提供完善的售后服务方案。方案完善、方案结构完整，功能完善，符合技术要求、合理、科学、针对性强得10分；方案有瑕疵，基本符合项目需求5分；方案内容考虑不全面、部分符合项目需求得1分；方案有明显缺陷难以完成采购需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745" w:type="dxa"/>
            <w:vAlign w:val="center"/>
          </w:tcPr>
          <w:p>
            <w:pPr>
              <w:jc w:val="center"/>
              <w:rPr>
                <w:rFonts w:ascii="宋体" w:hAnsi="宋体" w:cs="宋体"/>
                <w:sz w:val="28"/>
                <w:szCs w:val="28"/>
              </w:rPr>
            </w:pPr>
            <w:r>
              <w:rPr>
                <w:rFonts w:hint="eastAsia" w:ascii="宋体" w:hAnsi="宋体" w:cs="宋体"/>
                <w:sz w:val="28"/>
                <w:szCs w:val="28"/>
              </w:rPr>
              <w:t>价</w:t>
            </w:r>
          </w:p>
          <w:p>
            <w:pPr>
              <w:jc w:val="center"/>
              <w:rPr>
                <w:rFonts w:ascii="宋体" w:hAnsi="宋体" w:cs="宋体"/>
                <w:sz w:val="28"/>
                <w:szCs w:val="28"/>
              </w:rPr>
            </w:pPr>
            <w:r>
              <w:rPr>
                <w:rFonts w:hint="eastAsia" w:ascii="宋体" w:hAnsi="宋体" w:cs="宋体"/>
                <w:sz w:val="28"/>
                <w:szCs w:val="28"/>
              </w:rPr>
              <w:t>格</w:t>
            </w:r>
          </w:p>
          <w:p>
            <w:pPr>
              <w:jc w:val="center"/>
              <w:rPr>
                <w:rFonts w:ascii="宋体" w:hAnsi="宋体" w:cs="宋体"/>
                <w:sz w:val="28"/>
                <w:szCs w:val="28"/>
              </w:rPr>
            </w:pPr>
            <w:r>
              <w:rPr>
                <w:rFonts w:hint="eastAsia" w:ascii="宋体" w:hAnsi="宋体" w:cs="宋体"/>
                <w:sz w:val="28"/>
                <w:szCs w:val="28"/>
              </w:rPr>
              <w:t>评</w:t>
            </w:r>
          </w:p>
          <w:p>
            <w:pPr>
              <w:jc w:val="center"/>
              <w:rPr>
                <w:rFonts w:ascii="宋体" w:hAnsi="宋体" w:cs="宋体"/>
                <w:sz w:val="28"/>
                <w:szCs w:val="28"/>
              </w:rPr>
            </w:pPr>
            <w:r>
              <w:rPr>
                <w:rFonts w:hint="eastAsia" w:ascii="宋体" w:hAnsi="宋体" w:cs="宋体"/>
                <w:sz w:val="28"/>
                <w:szCs w:val="28"/>
              </w:rPr>
              <w:t>审</w:t>
            </w:r>
          </w:p>
        </w:tc>
        <w:tc>
          <w:tcPr>
            <w:tcW w:w="1276"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报价</w:t>
            </w:r>
          </w:p>
        </w:tc>
        <w:tc>
          <w:tcPr>
            <w:tcW w:w="851" w:type="dxa"/>
            <w:vAlign w:val="center"/>
          </w:tcPr>
          <w:p>
            <w:pPr>
              <w:snapToGrid w:val="0"/>
              <w:spacing w:line="400" w:lineRule="exact"/>
              <w:jc w:val="center"/>
              <w:rPr>
                <w:rFonts w:ascii="宋体" w:hAnsi="宋体" w:cs="宋体"/>
                <w:sz w:val="28"/>
                <w:szCs w:val="28"/>
              </w:rPr>
            </w:pPr>
            <w:r>
              <w:rPr>
                <w:rFonts w:ascii="宋体" w:hAnsi="宋体" w:cs="宋体"/>
                <w:sz w:val="28"/>
                <w:szCs w:val="28"/>
              </w:rPr>
              <w:t>30</w:t>
            </w:r>
            <w:r>
              <w:rPr>
                <w:rFonts w:hint="eastAsia" w:ascii="宋体" w:hAnsi="宋体" w:cs="宋体"/>
                <w:sz w:val="28"/>
                <w:szCs w:val="28"/>
              </w:rPr>
              <w:t>分</w:t>
            </w:r>
          </w:p>
        </w:tc>
        <w:tc>
          <w:tcPr>
            <w:tcW w:w="6923" w:type="dxa"/>
            <w:vAlign w:val="center"/>
          </w:tcPr>
          <w:p>
            <w:pPr>
              <w:snapToGrid w:val="0"/>
              <w:ind w:firstLine="548" w:firstLineChars="196"/>
              <w:rPr>
                <w:rFonts w:ascii="宋体" w:hAnsi="宋体"/>
                <w:sz w:val="28"/>
                <w:szCs w:val="28"/>
              </w:rPr>
            </w:pPr>
            <w:r>
              <w:rPr>
                <w:rFonts w:hint="eastAsia" w:ascii="宋体" w:hAnsi="宋体"/>
                <w:sz w:val="28"/>
                <w:szCs w:val="28"/>
              </w:rPr>
              <w:t>报价分采用低价优先法计算，即满足招标文件要求且最终报价最低的投标报价为评标基准价，其报价得分为</w:t>
            </w:r>
            <w:r>
              <w:rPr>
                <w:rFonts w:ascii="宋体" w:hAnsi="宋体"/>
                <w:sz w:val="28"/>
                <w:szCs w:val="28"/>
              </w:rPr>
              <w:t>30</w:t>
            </w:r>
            <w:r>
              <w:rPr>
                <w:rFonts w:hint="eastAsia" w:ascii="宋体" w:hAnsi="宋体"/>
                <w:sz w:val="28"/>
                <w:szCs w:val="28"/>
              </w:rPr>
              <w:t>。</w:t>
            </w:r>
          </w:p>
          <w:p>
            <w:pPr>
              <w:snapToGrid w:val="0"/>
              <w:ind w:firstLine="548" w:firstLineChars="196"/>
              <w:rPr>
                <w:rFonts w:ascii="宋体" w:hAnsi="宋体"/>
                <w:sz w:val="28"/>
                <w:szCs w:val="28"/>
              </w:rPr>
            </w:pPr>
            <w:r>
              <w:rPr>
                <w:rFonts w:hint="eastAsia" w:ascii="宋体" w:hAnsi="宋体"/>
                <w:sz w:val="28"/>
                <w:szCs w:val="28"/>
              </w:rPr>
              <w:t>其他投标人的报价得分按照下列公式计算：</w:t>
            </w:r>
          </w:p>
          <w:p>
            <w:pPr>
              <w:snapToGrid w:val="0"/>
              <w:ind w:firstLine="548" w:firstLineChars="196"/>
              <w:rPr>
                <w:rFonts w:ascii="宋体" w:hAnsi="宋体" w:cs="宋体"/>
                <w:sz w:val="28"/>
                <w:szCs w:val="28"/>
              </w:rPr>
            </w:pPr>
            <w:r>
              <w:rPr>
                <w:rFonts w:hint="eastAsia" w:ascii="宋体" w:hAnsi="宋体"/>
                <w:sz w:val="28"/>
                <w:szCs w:val="28"/>
              </w:rPr>
              <w:t>投标报价得分=(评标基准价／投标报价)×价格权值（</w:t>
            </w:r>
            <w:r>
              <w:rPr>
                <w:rFonts w:ascii="宋体" w:hAnsi="宋体"/>
                <w:sz w:val="28"/>
                <w:szCs w:val="28"/>
              </w:rPr>
              <w:t>30</w:t>
            </w:r>
            <w:r>
              <w:rPr>
                <w:rFonts w:hint="eastAsia" w:ascii="宋体" w:hAnsi="宋体"/>
                <w:sz w:val="28"/>
                <w:szCs w:val="28"/>
              </w:rPr>
              <w:t>）</w:t>
            </w:r>
          </w:p>
        </w:tc>
      </w:tr>
    </w:tbl>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w:t>
      </w:r>
      <w:r>
        <w:rPr>
          <w:rFonts w:hint="eastAsia" w:ascii="宋体" w:hAnsi="宋体"/>
          <w:kern w:val="0"/>
          <w:sz w:val="28"/>
          <w:szCs w:val="28"/>
          <w:lang w:val="en-US" w:eastAsia="zh-CN"/>
        </w:rPr>
        <w:t>两</w:t>
      </w:r>
      <w:r>
        <w:rPr>
          <w:rFonts w:hint="eastAsia" w:ascii="宋体" w:hAnsi="宋体"/>
          <w:kern w:val="0"/>
          <w:sz w:val="28"/>
          <w:szCs w:val="28"/>
        </w:rPr>
        <w:t>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479"/>
      <w:bookmarkStart w:id="2" w:name="_Toc456291354"/>
      <w:bookmarkStart w:id="3" w:name="_Toc456291260"/>
      <w:bookmarkStart w:id="4" w:name="_Toc456291165"/>
      <w:bookmarkStart w:id="5" w:name="_Toc462487372"/>
      <w:bookmarkStart w:id="6" w:name="_Toc456291537"/>
      <w:bookmarkStart w:id="7" w:name="_Toc456291280"/>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Sans Serif">
    <w:altName w:val="Microsoft Sans Serif"/>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auto"/>
    <w:pitch w:val="default"/>
    <w:sig w:usb0="E5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hYTFiYjNhZDc2ZDZlNzdkNTVhYWVmODA2NzFlNTA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2C25"/>
    <w:rsid w:val="001249D2"/>
    <w:rsid w:val="00125F97"/>
    <w:rsid w:val="0013281D"/>
    <w:rsid w:val="00137B0B"/>
    <w:rsid w:val="001539FE"/>
    <w:rsid w:val="001546ED"/>
    <w:rsid w:val="00162024"/>
    <w:rsid w:val="001631D0"/>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D2F37"/>
    <w:rsid w:val="004D3260"/>
    <w:rsid w:val="004D43F7"/>
    <w:rsid w:val="004D59EA"/>
    <w:rsid w:val="00503601"/>
    <w:rsid w:val="00521CC1"/>
    <w:rsid w:val="0052240D"/>
    <w:rsid w:val="00544F7E"/>
    <w:rsid w:val="005455AF"/>
    <w:rsid w:val="0055245D"/>
    <w:rsid w:val="005614F8"/>
    <w:rsid w:val="00563340"/>
    <w:rsid w:val="00564A6B"/>
    <w:rsid w:val="0056741D"/>
    <w:rsid w:val="00573DED"/>
    <w:rsid w:val="00576EF0"/>
    <w:rsid w:val="00586638"/>
    <w:rsid w:val="005A3835"/>
    <w:rsid w:val="005B302D"/>
    <w:rsid w:val="005B7B08"/>
    <w:rsid w:val="005C0FA3"/>
    <w:rsid w:val="005F1DE4"/>
    <w:rsid w:val="005F4172"/>
    <w:rsid w:val="005F4601"/>
    <w:rsid w:val="00601A2A"/>
    <w:rsid w:val="00605EDC"/>
    <w:rsid w:val="006212AD"/>
    <w:rsid w:val="006300B6"/>
    <w:rsid w:val="00633C22"/>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C46AD"/>
    <w:rsid w:val="00FD747B"/>
    <w:rsid w:val="04650034"/>
    <w:rsid w:val="05AA25A3"/>
    <w:rsid w:val="093F46F9"/>
    <w:rsid w:val="096B6B90"/>
    <w:rsid w:val="0DAD2CD7"/>
    <w:rsid w:val="1147356D"/>
    <w:rsid w:val="11696892"/>
    <w:rsid w:val="1A760337"/>
    <w:rsid w:val="1B7031E1"/>
    <w:rsid w:val="20F00FEB"/>
    <w:rsid w:val="286C0BFE"/>
    <w:rsid w:val="31EC5999"/>
    <w:rsid w:val="39B972E1"/>
    <w:rsid w:val="40252917"/>
    <w:rsid w:val="476C6262"/>
    <w:rsid w:val="4AA51C67"/>
    <w:rsid w:val="4FB363E5"/>
    <w:rsid w:val="551A175C"/>
    <w:rsid w:val="5AEA02D0"/>
    <w:rsid w:val="5B9B13DC"/>
    <w:rsid w:val="60877369"/>
    <w:rsid w:val="6B3A71FF"/>
    <w:rsid w:val="71713596"/>
    <w:rsid w:val="77B93B4F"/>
    <w:rsid w:val="7C2428D0"/>
    <w:rsid w:val="7ECC3C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autoRedefine/>
    <w:qFormat/>
    <w:uiPriority w:val="99"/>
    <w:pPr>
      <w:jc w:val="left"/>
    </w:pPr>
    <w:rPr>
      <w:rFonts w:cs="Times New Roman"/>
    </w:rPr>
  </w:style>
  <w:style w:type="paragraph" w:styleId="5">
    <w:name w:val="Plain Text"/>
    <w:basedOn w:val="1"/>
    <w:link w:val="23"/>
    <w:autoRedefine/>
    <w:qFormat/>
    <w:uiPriority w:val="0"/>
    <w:rPr>
      <w:rFonts w:ascii="宋体" w:hAnsi="Courier New" w:cs="Courier New"/>
    </w:rPr>
  </w:style>
  <w:style w:type="paragraph" w:styleId="6">
    <w:name w:val="Balloon Text"/>
    <w:basedOn w:val="1"/>
    <w:link w:val="19"/>
    <w:autoRedefine/>
    <w:semiHidden/>
    <w:qFormat/>
    <w:uiPriority w:val="99"/>
    <w:rPr>
      <w:rFonts w:ascii="Times New Roman" w:hAnsi="Times New Roman" w:cs="Times New Roman"/>
      <w:sz w:val="18"/>
      <w:szCs w:val="18"/>
    </w:rPr>
  </w:style>
  <w:style w:type="paragraph" w:styleId="7">
    <w:name w:val="footer"/>
    <w:basedOn w:val="1"/>
    <w:link w:val="16"/>
    <w:autoRedefine/>
    <w:qFormat/>
    <w:uiPriority w:val="99"/>
    <w:pPr>
      <w:tabs>
        <w:tab w:val="center" w:pos="4153"/>
        <w:tab w:val="right" w:pos="8306"/>
      </w:tabs>
      <w:snapToGrid w:val="0"/>
      <w:jc w:val="left"/>
    </w:pPr>
    <w:rPr>
      <w:sz w:val="18"/>
      <w:szCs w:val="18"/>
    </w:rPr>
  </w:style>
  <w:style w:type="paragraph" w:styleId="8">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customStyle="1" w:styleId="14">
    <w:name w:val="标题 2 字符"/>
    <w:link w:val="3"/>
    <w:autoRedefine/>
    <w:qFormat/>
    <w:locked/>
    <w:uiPriority w:val="99"/>
    <w:rPr>
      <w:rFonts w:ascii="Cambria" w:hAnsi="Cambria" w:eastAsia="宋体" w:cs="Cambria"/>
      <w:b/>
      <w:bCs/>
      <w:sz w:val="32"/>
      <w:szCs w:val="32"/>
    </w:rPr>
  </w:style>
  <w:style w:type="character" w:customStyle="1" w:styleId="15">
    <w:name w:val="页眉 字符"/>
    <w:link w:val="8"/>
    <w:autoRedefine/>
    <w:qFormat/>
    <w:locked/>
    <w:uiPriority w:val="99"/>
    <w:rPr>
      <w:sz w:val="18"/>
      <w:szCs w:val="18"/>
    </w:rPr>
  </w:style>
  <w:style w:type="character" w:customStyle="1" w:styleId="16">
    <w:name w:val="页脚 字符"/>
    <w:link w:val="7"/>
    <w:autoRedefine/>
    <w:qFormat/>
    <w:locked/>
    <w:uiPriority w:val="99"/>
    <w:rPr>
      <w:sz w:val="18"/>
      <w:szCs w:val="18"/>
    </w:rPr>
  </w:style>
  <w:style w:type="paragraph" w:styleId="17">
    <w:name w:val="List Paragraph"/>
    <w:basedOn w:val="1"/>
    <w:link w:val="18"/>
    <w:autoRedefine/>
    <w:qFormat/>
    <w:uiPriority w:val="99"/>
    <w:pPr>
      <w:ind w:firstLine="420" w:firstLineChars="200"/>
    </w:pPr>
    <w:rPr>
      <w:rFonts w:ascii="Times New Roman" w:hAnsi="Times New Roman" w:cs="Times New Roman"/>
      <w:kern w:val="0"/>
      <w:sz w:val="20"/>
      <w:szCs w:val="20"/>
    </w:rPr>
  </w:style>
  <w:style w:type="character" w:customStyle="1" w:styleId="18">
    <w:name w:val="列表段落 字符"/>
    <w:link w:val="17"/>
    <w:autoRedefine/>
    <w:qFormat/>
    <w:locked/>
    <w:uiPriority w:val="99"/>
    <w:rPr>
      <w:rFonts w:ascii="Times New Roman" w:hAnsi="Times New Roman" w:eastAsia="宋体" w:cs="Times New Roman"/>
      <w:sz w:val="20"/>
      <w:szCs w:val="20"/>
    </w:rPr>
  </w:style>
  <w:style w:type="character" w:customStyle="1" w:styleId="19">
    <w:name w:val="批注框文本 字符"/>
    <w:link w:val="6"/>
    <w:autoRedefine/>
    <w:semiHidden/>
    <w:qFormat/>
    <w:locked/>
    <w:uiPriority w:val="99"/>
    <w:rPr>
      <w:rFonts w:ascii="Times New Roman" w:hAnsi="Times New Roman" w:eastAsia="宋体" w:cs="Times New Roman"/>
      <w:sz w:val="18"/>
      <w:szCs w:val="18"/>
    </w:rPr>
  </w:style>
  <w:style w:type="paragraph" w:customStyle="1" w:styleId="20">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autoRedefine/>
    <w:qFormat/>
    <w:uiPriority w:val="99"/>
    <w:rPr>
      <w:rFonts w:ascii="微软雅黑" w:hAnsi="微软雅黑" w:eastAsia="微软雅黑" w:cs="微软雅黑"/>
      <w:color w:val="000000"/>
      <w:sz w:val="20"/>
      <w:szCs w:val="20"/>
      <w:u w:val="none"/>
    </w:rPr>
  </w:style>
  <w:style w:type="character" w:customStyle="1" w:styleId="22">
    <w:name w:val="font71"/>
    <w:autoRedefine/>
    <w:qFormat/>
    <w:uiPriority w:val="99"/>
    <w:rPr>
      <w:rFonts w:ascii="宋体" w:hAnsi="宋体" w:eastAsia="宋体" w:cs="宋体"/>
      <w:color w:val="000000"/>
      <w:sz w:val="20"/>
      <w:szCs w:val="20"/>
      <w:u w:val="none"/>
    </w:rPr>
  </w:style>
  <w:style w:type="character" w:customStyle="1" w:styleId="23">
    <w:name w:val="纯文本 字符"/>
    <w:link w:val="5"/>
    <w:autoRedefine/>
    <w:qFormat/>
    <w:uiPriority w:val="0"/>
    <w:rPr>
      <w:rFonts w:ascii="宋体" w:hAnsi="Courier New" w:cs="Courier New"/>
      <w:kern w:val="2"/>
      <w:sz w:val="21"/>
      <w:szCs w:val="21"/>
    </w:rPr>
  </w:style>
  <w:style w:type="character" w:customStyle="1" w:styleId="24">
    <w:name w:val="标题 1 字符"/>
    <w:link w:val="2"/>
    <w:autoRedefine/>
    <w:qFormat/>
    <w:uiPriority w:val="0"/>
    <w:rPr>
      <w:rFonts w:cs="Calibri"/>
      <w:b/>
      <w:bCs/>
      <w:kern w:val="44"/>
      <w:sz w:val="44"/>
      <w:szCs w:val="44"/>
    </w:rPr>
  </w:style>
  <w:style w:type="paragraph" w:customStyle="1" w:styleId="25">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字符"/>
    <w:link w:val="4"/>
    <w:autoRedefine/>
    <w:qFormat/>
    <w:uiPriority w:val="99"/>
    <w:rPr>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5C5A-4673-4F4E-8A0E-7DF21F1081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1162</Words>
  <Characters>6626</Characters>
  <Lines>55</Lines>
  <Paragraphs>15</Paragraphs>
  <TotalTime>8</TotalTime>
  <ScaleCrop>false</ScaleCrop>
  <LinksUpToDate>false</LinksUpToDate>
  <CharactersWithSpaces>7773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2023-12-14T03:51:00Z</dcterms:created>
  <dc:creator>dell</dc:creator>
  <cp:lastModifiedBy>高其瑞</cp:lastModifiedBy>
  <cp:lastPrinted>2018-08-22T03:24:00Z</cp:lastPrinted>
  <dcterms:modified xsi:type="dcterms:W3CDTF">2024-01-15T07:41:29Z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85B009B840714FED81800EF58C941E8C_12</vt:lpwstr>
  </property>
</Properties>
</file>