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914E2D" w:rsidRPr="00914E2D">
        <w:rPr>
          <w:rFonts w:asciiTheme="minorEastAsia" w:eastAsiaTheme="minorEastAsia" w:hAnsiTheme="minorEastAsia" w:hint="eastAsia"/>
          <w:sz w:val="28"/>
          <w:szCs w:val="28"/>
        </w:rPr>
        <w:t>糖尿病周围神经损伤筛查仪采项目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914E2D">
        <w:rPr>
          <w:color w:val="000000"/>
          <w:sz w:val="28"/>
          <w:szCs w:val="28"/>
        </w:rPr>
        <w:t>YCZXYYZB</w:t>
      </w:r>
      <w:r w:rsidRPr="00137B0B">
        <w:rPr>
          <w:color w:val="000000"/>
          <w:sz w:val="28"/>
          <w:szCs w:val="28"/>
        </w:rPr>
        <w:t>-20</w:t>
      </w:r>
      <w:r w:rsidR="001C42C9" w:rsidRPr="00137B0B">
        <w:rPr>
          <w:color w:val="000000"/>
          <w:sz w:val="28"/>
          <w:szCs w:val="28"/>
        </w:rPr>
        <w:t>2</w:t>
      </w:r>
      <w:r w:rsidR="00914E2D">
        <w:rPr>
          <w:color w:val="000000"/>
          <w:sz w:val="28"/>
          <w:szCs w:val="28"/>
        </w:rPr>
        <w:t>4</w:t>
      </w:r>
      <w:r w:rsidRPr="00137B0B">
        <w:rPr>
          <w:color w:val="000000"/>
          <w:sz w:val="28"/>
          <w:szCs w:val="28"/>
        </w:rPr>
        <w:t>-</w:t>
      </w:r>
      <w:r w:rsidR="00914E2D">
        <w:rPr>
          <w:color w:val="000000"/>
          <w:sz w:val="28"/>
          <w:szCs w:val="28"/>
        </w:rPr>
        <w:t>A1001</w:t>
      </w:r>
    </w:p>
    <w:p w:rsidR="00331027" w:rsidRPr="00914E2D"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914E2D">
        <w:rPr>
          <w:rFonts w:hint="eastAsia"/>
          <w:sz w:val="28"/>
          <w:szCs w:val="28"/>
        </w:rPr>
        <w:t>院</w:t>
      </w:r>
      <w:r w:rsidR="00914E2D" w:rsidRPr="00914E2D">
        <w:rPr>
          <w:rFonts w:asciiTheme="minorEastAsia" w:eastAsiaTheme="minorEastAsia" w:hAnsiTheme="minorEastAsia" w:hint="eastAsia"/>
          <w:sz w:val="28"/>
          <w:szCs w:val="28"/>
        </w:rPr>
        <w:t>糖尿病周围神经损伤筛查仪采项目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37764" w:rsidRPr="00A37764">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375C13">
        <w:rPr>
          <w:rFonts w:hint="eastAsia"/>
          <w:color w:val="FF0000"/>
          <w:sz w:val="28"/>
          <w:szCs w:val="28"/>
        </w:rPr>
        <w:t>4</w:t>
      </w:r>
      <w:r w:rsidRPr="00137B0B">
        <w:rPr>
          <w:rFonts w:hint="eastAsia"/>
          <w:color w:val="FF0000"/>
          <w:sz w:val="28"/>
          <w:szCs w:val="28"/>
        </w:rPr>
        <w:t>年</w:t>
      </w:r>
      <w:r w:rsidR="00A37764">
        <w:rPr>
          <w:rFonts w:hint="eastAsia"/>
          <w:color w:val="FF0000"/>
          <w:sz w:val="28"/>
          <w:szCs w:val="28"/>
        </w:rPr>
        <w:t>1</w:t>
      </w:r>
      <w:r w:rsidRPr="00137B0B">
        <w:rPr>
          <w:rFonts w:hint="eastAsia"/>
          <w:color w:val="FF0000"/>
          <w:sz w:val="28"/>
          <w:szCs w:val="28"/>
        </w:rPr>
        <w:t>月</w:t>
      </w:r>
      <w:r w:rsidR="00A37764">
        <w:rPr>
          <w:rFonts w:hint="eastAsia"/>
          <w:color w:val="FF0000"/>
          <w:sz w:val="28"/>
          <w:szCs w:val="28"/>
        </w:rPr>
        <w:t>26</w:t>
      </w:r>
      <w:r w:rsidRPr="00137B0B">
        <w:rPr>
          <w:rFonts w:hint="eastAsia"/>
          <w:color w:val="FF0000"/>
          <w:sz w:val="28"/>
          <w:szCs w:val="28"/>
        </w:rPr>
        <w:t>日</w:t>
      </w:r>
      <w:r w:rsidRPr="00137B0B">
        <w:rPr>
          <w:color w:val="FF0000"/>
          <w:sz w:val="28"/>
          <w:szCs w:val="28"/>
        </w:rPr>
        <w:t>0</w:t>
      </w:r>
      <w:r w:rsidR="008E44BA">
        <w:rPr>
          <w:color w:val="FF0000"/>
          <w:sz w:val="28"/>
          <w:szCs w:val="28"/>
        </w:rPr>
        <w:t>8</w:t>
      </w:r>
      <w:bookmarkStart w:id="0" w:name="_GoBack"/>
      <w:bookmarkEnd w:id="0"/>
      <w:r w:rsidRPr="00137B0B">
        <w:rPr>
          <w:color w:val="FF0000"/>
          <w:sz w:val="28"/>
          <w:szCs w:val="28"/>
        </w:rPr>
        <w:t>:30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A37764" w:rsidRPr="00A37764">
        <w:rPr>
          <w:rFonts w:hint="eastAsia"/>
          <w:b/>
          <w:sz w:val="28"/>
          <w:szCs w:val="28"/>
          <w:u w:val="single"/>
        </w:rPr>
        <w:t>宜昌市</w:t>
      </w:r>
      <w:r w:rsidR="00A37764" w:rsidRPr="00A37764">
        <w:rPr>
          <w:b/>
          <w:sz w:val="28"/>
          <w:szCs w:val="28"/>
          <w:u w:val="single"/>
        </w:rPr>
        <w:t>中心人民医院伍家院区</w:t>
      </w:r>
      <w:r w:rsidR="00EC5659" w:rsidRPr="00A37764">
        <w:rPr>
          <w:rFonts w:hint="eastAsia"/>
          <w:b/>
          <w:sz w:val="28"/>
          <w:szCs w:val="28"/>
          <w:u w:val="single"/>
        </w:rPr>
        <w:t>9号楼</w:t>
      </w:r>
      <w:r w:rsidR="000B43D4" w:rsidRPr="00A37764">
        <w:rPr>
          <w:rFonts w:hint="eastAsia"/>
          <w:b/>
          <w:sz w:val="28"/>
          <w:szCs w:val="28"/>
          <w:u w:val="single"/>
        </w:rPr>
        <w:t>313室</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37764" w:rsidRPr="00A37764">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A278D">
        <w:rPr>
          <w:rFonts w:hint="eastAsia"/>
          <w:sz w:val="28"/>
          <w:szCs w:val="28"/>
        </w:rPr>
        <w:t>王老师</w:t>
      </w:r>
      <w:r w:rsidR="00A37764" w:rsidRPr="004E1629">
        <w:rPr>
          <w:sz w:val="28"/>
          <w:szCs w:val="28"/>
        </w:rPr>
        <w:t>0717-6487783</w:t>
      </w:r>
      <w:r w:rsidR="006D6CC3">
        <w:rPr>
          <w:rFonts w:hint="eastAsia"/>
          <w:sz w:val="28"/>
          <w:szCs w:val="28"/>
        </w:rPr>
        <w:t>（医学工程部）</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A37764" w:rsidRPr="004E1629">
        <w:rPr>
          <w:sz w:val="28"/>
          <w:szCs w:val="28"/>
        </w:rPr>
        <w:t>0717</w:t>
      </w:r>
      <w:r w:rsidR="00A37764" w:rsidRPr="00137B0B">
        <w:rPr>
          <w:sz w:val="28"/>
          <w:szCs w:val="28"/>
        </w:rPr>
        <w:t>-6486583</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FC36DD" w:rsidRPr="00FC36DD">
        <w:rPr>
          <w:rFonts w:ascii="宋体" w:hAnsi="宋体" w:cs="宋体"/>
          <w:sz w:val="28"/>
          <w:szCs w:val="28"/>
        </w:rPr>
        <w:t>YCZXYYZB-2024-A1001</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w:t>
      </w:r>
      <w:r w:rsidR="00FC36DD" w:rsidRPr="00FC36DD">
        <w:rPr>
          <w:rFonts w:ascii="宋体" w:hAnsi="宋体" w:cs="宋体" w:hint="eastAsia"/>
          <w:sz w:val="28"/>
          <w:szCs w:val="28"/>
        </w:rPr>
        <w:t>宜昌市中心人民医院糖尿病周围神经损伤筛查仪采项目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163AC7" w:rsidRPr="00FC36DD">
        <w:rPr>
          <w:rFonts w:ascii="宋体" w:hAnsi="宋体" w:cs="宋体" w:hint="eastAsia"/>
          <w:kern w:val="0"/>
          <w:sz w:val="28"/>
          <w:szCs w:val="28"/>
        </w:rPr>
        <w:t>18</w:t>
      </w:r>
      <w:r w:rsidR="000125AD" w:rsidRPr="00FC36DD">
        <w:rPr>
          <w:rFonts w:ascii="宋体" w:hAnsi="宋体" w:cs="宋体" w:hint="eastAsia"/>
          <w:kern w:val="0"/>
          <w:sz w:val="28"/>
          <w:szCs w:val="28"/>
        </w:rPr>
        <w:t>万</w:t>
      </w:r>
      <w:r w:rsidRPr="00FC36DD">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FC36DD" w:rsidRDefault="007C213C" w:rsidP="007C213C">
      <w:pPr>
        <w:widowControl/>
        <w:spacing w:line="500" w:lineRule="exact"/>
        <w:ind w:firstLineChars="200" w:firstLine="560"/>
        <w:jc w:val="left"/>
        <w:rPr>
          <w:rFonts w:ascii="宋体" w:hAnsi="宋体" w:cs="宋体"/>
          <w:bCs/>
          <w:kern w:val="0"/>
          <w:sz w:val="28"/>
          <w:szCs w:val="28"/>
        </w:rPr>
      </w:pPr>
      <w:r w:rsidRPr="00FC36DD">
        <w:rPr>
          <w:rFonts w:ascii="宋体" w:hAnsi="宋体" w:cs="宋体" w:hint="eastAsia"/>
          <w:kern w:val="0"/>
          <w:sz w:val="28"/>
          <w:szCs w:val="28"/>
        </w:rPr>
        <w:t>5、</w:t>
      </w:r>
      <w:r w:rsidR="00EF637A" w:rsidRPr="00FC36DD">
        <w:rPr>
          <w:rFonts w:ascii="宋体" w:hAnsi="宋体" w:cs="宋体" w:hint="eastAsia"/>
          <w:kern w:val="0"/>
          <w:sz w:val="28"/>
          <w:szCs w:val="28"/>
        </w:rPr>
        <w:t>供应商为境内生产企业的，必须具有医疗器械生产许可证；供应商为代理企业的，必须具有医疗器械经营备案凭证；所投产品需具备医疗器械注册证。</w:t>
      </w:r>
    </w:p>
    <w:p w:rsidR="00162024" w:rsidRPr="00137B0B" w:rsidRDefault="00EC5659" w:rsidP="0016202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FC36DD" w:rsidRDefault="000125AD" w:rsidP="00D479E8">
      <w:pPr>
        <w:widowControl/>
        <w:spacing w:line="500" w:lineRule="exact"/>
        <w:ind w:firstLineChars="200" w:firstLine="560"/>
        <w:jc w:val="left"/>
        <w:rPr>
          <w:rFonts w:ascii="宋体" w:hAnsi="宋体" w:cs="宋体"/>
          <w:bCs/>
          <w:kern w:val="0"/>
          <w:sz w:val="28"/>
          <w:szCs w:val="28"/>
        </w:rPr>
      </w:pPr>
      <w:r w:rsidRPr="00FC36DD">
        <w:rPr>
          <w:rFonts w:ascii="宋体" w:hAnsi="宋体" w:cs="宋体" w:hint="eastAsia"/>
          <w:bCs/>
          <w:kern w:val="0"/>
          <w:sz w:val="28"/>
          <w:szCs w:val="28"/>
        </w:rPr>
        <w:t>本项目产品用于</w:t>
      </w:r>
      <w:r w:rsidR="00EC5659" w:rsidRPr="00FC36DD">
        <w:rPr>
          <w:rFonts w:ascii="宋体" w:hAnsi="宋体" w:cs="宋体" w:hint="eastAsia"/>
          <w:bCs/>
          <w:kern w:val="0"/>
          <w:sz w:val="28"/>
          <w:szCs w:val="28"/>
        </w:rPr>
        <w:t>肌电图、神经电图和体感诱发电位检查。</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163AC7" w:rsidP="00535DBF">
            <w:pPr>
              <w:jc w:val="center"/>
              <w:rPr>
                <w:rFonts w:ascii="宋体" w:hAnsi="宋体"/>
                <w:sz w:val="28"/>
              </w:rPr>
            </w:pPr>
            <w:r w:rsidRPr="00163AC7">
              <w:rPr>
                <w:rFonts w:ascii="宋体" w:hAnsi="宋体" w:hint="eastAsia"/>
                <w:sz w:val="28"/>
              </w:rPr>
              <w:t>糖尿病周围神经损伤筛查仪</w:t>
            </w:r>
          </w:p>
        </w:tc>
        <w:tc>
          <w:tcPr>
            <w:tcW w:w="1275" w:type="dxa"/>
            <w:shd w:val="clear" w:color="000000" w:fill="FFFFFF"/>
            <w:vAlign w:val="center"/>
          </w:tcPr>
          <w:p w:rsidR="00DF328A" w:rsidRPr="00D07531" w:rsidRDefault="00163AC7" w:rsidP="00535DBF">
            <w:pPr>
              <w:jc w:val="center"/>
              <w:rPr>
                <w:rFonts w:ascii="宋体" w:hAnsi="宋体"/>
                <w:sz w:val="28"/>
              </w:rPr>
            </w:pPr>
            <w:r>
              <w:rPr>
                <w:rFonts w:ascii="宋体" w:hAnsi="宋体" w:hint="eastAsia"/>
                <w:sz w:val="28"/>
              </w:rPr>
              <w:t>1</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370"/>
        <w:gridCol w:w="4111"/>
        <w:gridCol w:w="912"/>
      </w:tblGrid>
      <w:tr w:rsidR="00DF328A" w:rsidRPr="00137B0B" w:rsidTr="000B43D4">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370"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111"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0B43D4">
        <w:trPr>
          <w:trHeight w:val="340"/>
        </w:trPr>
        <w:tc>
          <w:tcPr>
            <w:tcW w:w="741" w:type="dxa"/>
            <w:shd w:val="clear" w:color="000000" w:fill="FFFFFF"/>
            <w:vAlign w:val="center"/>
          </w:tcPr>
          <w:p w:rsidR="00080AF9" w:rsidRPr="000B43D4" w:rsidRDefault="00EC5659"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w:t>
            </w:r>
            <w:r w:rsidR="000B43D4" w:rsidRPr="000B43D4">
              <w:rPr>
                <w:rFonts w:asciiTheme="minorEastAsia" w:eastAsiaTheme="minorEastAsia" w:hAnsiTheme="minorEastAsia" w:hint="eastAsia"/>
                <w:spacing w:val="2"/>
                <w:sz w:val="24"/>
                <w:szCs w:val="24"/>
              </w:rPr>
              <w:t>1</w:t>
            </w:r>
          </w:p>
        </w:tc>
        <w:tc>
          <w:tcPr>
            <w:tcW w:w="3370" w:type="dxa"/>
            <w:shd w:val="clear" w:color="000000" w:fill="FFFFFF"/>
            <w:vAlign w:val="center"/>
          </w:tcPr>
          <w:p w:rsidR="00080AF9" w:rsidRPr="000B43D4" w:rsidRDefault="00163AC7"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功能要求</w:t>
            </w:r>
          </w:p>
        </w:tc>
        <w:tc>
          <w:tcPr>
            <w:tcW w:w="4111" w:type="dxa"/>
            <w:shd w:val="clear" w:color="000000" w:fill="FFFFFF"/>
            <w:vAlign w:val="center"/>
          </w:tcPr>
          <w:p w:rsidR="00080AF9" w:rsidRPr="000B43D4" w:rsidRDefault="000B43D4"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支持</w:t>
            </w:r>
            <w:r w:rsidR="00163AC7" w:rsidRPr="000B43D4">
              <w:rPr>
                <w:rFonts w:asciiTheme="minorEastAsia" w:eastAsiaTheme="minorEastAsia" w:hAnsiTheme="minorEastAsia"/>
                <w:spacing w:val="2"/>
                <w:sz w:val="24"/>
                <w:szCs w:val="24"/>
              </w:rPr>
              <w:t>包括感觉神经传导速度</w:t>
            </w:r>
            <w:r w:rsidR="00163AC7" w:rsidRPr="000B43D4">
              <w:rPr>
                <w:rFonts w:asciiTheme="minorEastAsia" w:eastAsiaTheme="minorEastAsia" w:hAnsiTheme="minorEastAsia" w:hint="eastAsia"/>
                <w:spacing w:val="2"/>
                <w:sz w:val="24"/>
                <w:szCs w:val="24"/>
              </w:rPr>
              <w:t>、</w:t>
            </w:r>
            <w:r w:rsidR="00163AC7" w:rsidRPr="000B43D4">
              <w:rPr>
                <w:rFonts w:asciiTheme="minorEastAsia" w:eastAsiaTheme="minorEastAsia" w:hAnsiTheme="minorEastAsia"/>
                <w:spacing w:val="2"/>
                <w:sz w:val="24"/>
                <w:szCs w:val="24"/>
              </w:rPr>
              <w:t>运动神经传导速度</w:t>
            </w:r>
            <w:r w:rsidR="00163AC7" w:rsidRPr="000B43D4">
              <w:rPr>
                <w:rFonts w:asciiTheme="minorEastAsia" w:eastAsiaTheme="minorEastAsia" w:hAnsiTheme="minorEastAsia" w:hint="eastAsia"/>
                <w:spacing w:val="2"/>
                <w:sz w:val="24"/>
                <w:szCs w:val="24"/>
              </w:rPr>
              <w:t>、</w:t>
            </w:r>
            <w:r w:rsidR="00163AC7" w:rsidRPr="000B43D4">
              <w:rPr>
                <w:rFonts w:asciiTheme="minorEastAsia" w:eastAsiaTheme="minorEastAsia" w:hAnsiTheme="minorEastAsia"/>
                <w:spacing w:val="2"/>
                <w:sz w:val="24"/>
                <w:szCs w:val="24"/>
              </w:rPr>
              <w:t>重复电刺激</w:t>
            </w:r>
            <w:r w:rsidR="00163AC7" w:rsidRPr="000B43D4">
              <w:rPr>
                <w:rFonts w:asciiTheme="minorEastAsia" w:eastAsiaTheme="minorEastAsia" w:hAnsiTheme="minorEastAsia" w:hint="eastAsia"/>
                <w:spacing w:val="2"/>
                <w:sz w:val="24"/>
                <w:szCs w:val="24"/>
              </w:rPr>
              <w:t>、</w:t>
            </w:r>
            <w:r w:rsidR="00163AC7" w:rsidRPr="000B43D4">
              <w:rPr>
                <w:rFonts w:asciiTheme="minorEastAsia" w:eastAsiaTheme="minorEastAsia" w:hAnsiTheme="minorEastAsia"/>
                <w:spacing w:val="2"/>
                <w:sz w:val="24"/>
                <w:szCs w:val="24"/>
              </w:rPr>
              <w:t>心脏副交感等</w:t>
            </w:r>
          </w:p>
        </w:tc>
        <w:tc>
          <w:tcPr>
            <w:tcW w:w="912" w:type="dxa"/>
            <w:shd w:val="clear" w:color="auto" w:fill="auto"/>
            <w:vAlign w:val="center"/>
          </w:tcPr>
          <w:p w:rsidR="00080AF9" w:rsidRPr="000B43D4" w:rsidRDefault="00080AF9"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2</w:t>
            </w:r>
          </w:p>
        </w:tc>
        <w:tc>
          <w:tcPr>
            <w:tcW w:w="3370" w:type="dxa"/>
            <w:shd w:val="clear" w:color="000000" w:fill="FFFFFF"/>
            <w:vAlign w:val="center"/>
          </w:tcPr>
          <w:p w:rsidR="004D4525" w:rsidRPr="000B43D4" w:rsidRDefault="00163AC7"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刺激脉冲强度</w:t>
            </w:r>
          </w:p>
        </w:tc>
        <w:tc>
          <w:tcPr>
            <w:tcW w:w="4111" w:type="dxa"/>
            <w:shd w:val="clear" w:color="000000" w:fill="FFFFFF"/>
            <w:vAlign w:val="center"/>
          </w:tcPr>
          <w:p w:rsidR="004D4525" w:rsidRPr="000B43D4" w:rsidRDefault="00163AC7"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≥100mA</w:t>
            </w:r>
            <w:r w:rsidR="00F471F3" w:rsidRPr="000B43D4">
              <w:rPr>
                <w:rFonts w:asciiTheme="minorEastAsia" w:eastAsiaTheme="minorEastAsia" w:hAnsiTheme="minorEastAsia" w:hint="eastAsia"/>
                <w:sz w:val="24"/>
                <w:szCs w:val="24"/>
              </w:rPr>
              <w:t>，控制精度≤±5%</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3</w:t>
            </w:r>
          </w:p>
        </w:tc>
        <w:tc>
          <w:tcPr>
            <w:tcW w:w="3370" w:type="dxa"/>
            <w:shd w:val="clear" w:color="000000" w:fill="FFFFFF"/>
            <w:vAlign w:val="center"/>
          </w:tcPr>
          <w:p w:rsidR="004D4525"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刺激波宽</w:t>
            </w:r>
          </w:p>
        </w:tc>
        <w:tc>
          <w:tcPr>
            <w:tcW w:w="4111" w:type="dxa"/>
            <w:shd w:val="clear" w:color="000000" w:fill="FFFFFF"/>
            <w:vAlign w:val="center"/>
          </w:tcPr>
          <w:p w:rsidR="004D4525" w:rsidRPr="000B43D4" w:rsidRDefault="00163AC7" w:rsidP="00033419">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≥1</w:t>
            </w:r>
            <w:r w:rsidR="003B2A4B" w:rsidRPr="000B43D4">
              <w:rPr>
                <w:rFonts w:asciiTheme="minorEastAsia" w:eastAsiaTheme="minorEastAsia" w:hAnsiTheme="minorEastAsia" w:hint="eastAsia"/>
                <w:sz w:val="24"/>
                <w:szCs w:val="24"/>
              </w:rPr>
              <w:t>000μs</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4</w:t>
            </w:r>
          </w:p>
        </w:tc>
        <w:tc>
          <w:tcPr>
            <w:tcW w:w="3370"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刺激频率</w:t>
            </w:r>
          </w:p>
        </w:tc>
        <w:tc>
          <w:tcPr>
            <w:tcW w:w="4111" w:type="dxa"/>
            <w:shd w:val="clear" w:color="000000" w:fill="FFFFFF"/>
            <w:vAlign w:val="center"/>
          </w:tcPr>
          <w:p w:rsidR="00DC0853" w:rsidRPr="000B43D4" w:rsidRDefault="00163AC7" w:rsidP="00033419">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≥1</w:t>
            </w:r>
            <w:r w:rsidR="003B2A4B" w:rsidRPr="000B43D4">
              <w:rPr>
                <w:rFonts w:asciiTheme="minorEastAsia" w:eastAsiaTheme="minorEastAsia" w:hAnsiTheme="minorEastAsia" w:hint="eastAsia"/>
                <w:sz w:val="24"/>
                <w:szCs w:val="24"/>
              </w:rPr>
              <w:t>0</w:t>
            </w:r>
            <w:r w:rsidR="00033419" w:rsidRPr="000B43D4">
              <w:rPr>
                <w:rFonts w:asciiTheme="minorEastAsia" w:eastAsiaTheme="minorEastAsia" w:hAnsiTheme="minorEastAsia" w:hint="eastAsia"/>
                <w:sz w:val="24"/>
                <w:szCs w:val="24"/>
              </w:rPr>
              <w:t>K</w:t>
            </w:r>
            <w:r w:rsidRPr="000B43D4">
              <w:rPr>
                <w:rFonts w:asciiTheme="minorEastAsia" w:eastAsiaTheme="minorEastAsia" w:hAnsiTheme="minorEastAsia" w:hint="eastAsia"/>
                <w:sz w:val="24"/>
                <w:szCs w:val="24"/>
              </w:rPr>
              <w:t>Hz</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5</w:t>
            </w:r>
          </w:p>
        </w:tc>
        <w:tc>
          <w:tcPr>
            <w:tcW w:w="3370" w:type="dxa"/>
            <w:shd w:val="clear" w:color="000000" w:fill="FFFFFF"/>
            <w:vAlign w:val="center"/>
          </w:tcPr>
          <w:p w:rsidR="004D4525" w:rsidRPr="000B43D4" w:rsidRDefault="00163AC7"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电压灵敏度</w:t>
            </w:r>
          </w:p>
        </w:tc>
        <w:tc>
          <w:tcPr>
            <w:tcW w:w="4111" w:type="dxa"/>
            <w:shd w:val="clear" w:color="000000" w:fill="FFFFFF"/>
            <w:vAlign w:val="center"/>
          </w:tcPr>
          <w:p w:rsidR="004D4525" w:rsidRPr="000B43D4" w:rsidRDefault="000B43D4" w:rsidP="000B43D4">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w:t>
            </w:r>
            <w:r w:rsidR="00163AC7" w:rsidRPr="000B43D4">
              <w:rPr>
                <w:rFonts w:asciiTheme="minorEastAsia" w:eastAsiaTheme="minorEastAsia" w:hAnsiTheme="minorEastAsia" w:hint="eastAsia"/>
                <w:spacing w:val="2"/>
                <w:sz w:val="24"/>
                <w:szCs w:val="24"/>
              </w:rPr>
              <w:t>10</w:t>
            </w:r>
            <w:r w:rsidRPr="000B43D4">
              <w:rPr>
                <w:rFonts w:asciiTheme="minorEastAsia" w:eastAsiaTheme="minorEastAsia" w:hAnsiTheme="minorEastAsia" w:hint="eastAsia"/>
                <w:spacing w:val="2"/>
                <w:sz w:val="24"/>
                <w:szCs w:val="24"/>
              </w:rPr>
              <w:t>m</w:t>
            </w:r>
            <w:r w:rsidR="00163AC7" w:rsidRPr="000B43D4">
              <w:rPr>
                <w:rFonts w:asciiTheme="minorEastAsia" w:eastAsiaTheme="minorEastAsia" w:hAnsiTheme="minorEastAsia" w:hint="eastAsia"/>
                <w:sz w:val="24"/>
                <w:szCs w:val="24"/>
              </w:rPr>
              <w:t>v/D</w:t>
            </w:r>
            <w:r w:rsidR="006A0B96" w:rsidRPr="000B43D4">
              <w:rPr>
                <w:rFonts w:asciiTheme="minorEastAsia" w:eastAsiaTheme="minorEastAsia" w:hAnsiTheme="minorEastAsia" w:hint="eastAsia"/>
                <w:sz w:val="24"/>
                <w:szCs w:val="24"/>
              </w:rPr>
              <w:t>，提供第三方检测报告</w:t>
            </w:r>
            <w:r w:rsidR="00EC5659" w:rsidRPr="000B43D4">
              <w:rPr>
                <w:rFonts w:asciiTheme="minorEastAsia" w:eastAsiaTheme="minorEastAsia" w:hAnsiTheme="minorEastAsia" w:hint="eastAsia"/>
                <w:sz w:val="24"/>
                <w:szCs w:val="24"/>
              </w:rPr>
              <w:t>证明</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6</w:t>
            </w:r>
          </w:p>
        </w:tc>
        <w:tc>
          <w:tcPr>
            <w:tcW w:w="3370" w:type="dxa"/>
            <w:shd w:val="clear" w:color="000000" w:fill="FFFFFF"/>
            <w:vAlign w:val="center"/>
          </w:tcPr>
          <w:p w:rsidR="004D4525" w:rsidRPr="000B43D4" w:rsidRDefault="006A0B96"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共模抑制比</w:t>
            </w:r>
          </w:p>
        </w:tc>
        <w:tc>
          <w:tcPr>
            <w:tcW w:w="4111" w:type="dxa"/>
            <w:shd w:val="clear" w:color="000000" w:fill="FFFFFF"/>
            <w:vAlign w:val="center"/>
          </w:tcPr>
          <w:p w:rsidR="004D4525" w:rsidRPr="000B43D4" w:rsidRDefault="006A0B96" w:rsidP="00994250">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≥100dB</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7</w:t>
            </w:r>
          </w:p>
        </w:tc>
        <w:tc>
          <w:tcPr>
            <w:tcW w:w="3370" w:type="dxa"/>
            <w:shd w:val="clear" w:color="000000" w:fill="FFFFFF"/>
            <w:vAlign w:val="center"/>
          </w:tcPr>
          <w:p w:rsidR="004D4525" w:rsidRPr="000B43D4" w:rsidRDefault="006A0B96"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扫描时程</w:t>
            </w:r>
          </w:p>
        </w:tc>
        <w:tc>
          <w:tcPr>
            <w:tcW w:w="4111" w:type="dxa"/>
            <w:shd w:val="clear" w:color="000000" w:fill="FFFFFF"/>
            <w:vAlign w:val="center"/>
          </w:tcPr>
          <w:p w:rsidR="004D4525" w:rsidRPr="000B43D4" w:rsidRDefault="000B43D4" w:rsidP="003B2A4B">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w:t>
            </w:r>
            <w:r w:rsidR="006A0B96" w:rsidRPr="000B43D4">
              <w:rPr>
                <w:rFonts w:asciiTheme="minorEastAsia" w:eastAsiaTheme="minorEastAsia" w:hAnsiTheme="minorEastAsia" w:hint="eastAsia"/>
                <w:spacing w:val="2"/>
                <w:sz w:val="24"/>
                <w:szCs w:val="24"/>
              </w:rPr>
              <w:t>200ms/D</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8</w:t>
            </w:r>
          </w:p>
        </w:tc>
        <w:tc>
          <w:tcPr>
            <w:tcW w:w="3370" w:type="dxa"/>
            <w:shd w:val="clear" w:color="000000" w:fill="FFFFFF"/>
            <w:vAlign w:val="center"/>
          </w:tcPr>
          <w:p w:rsidR="004D4525" w:rsidRPr="000B43D4" w:rsidRDefault="00476C6B"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输入阻抗</w:t>
            </w:r>
          </w:p>
        </w:tc>
        <w:tc>
          <w:tcPr>
            <w:tcW w:w="4111" w:type="dxa"/>
            <w:shd w:val="clear" w:color="000000" w:fill="FFFFFF"/>
            <w:vAlign w:val="center"/>
          </w:tcPr>
          <w:p w:rsidR="004D4525" w:rsidRPr="000B43D4" w:rsidRDefault="00476C6B"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w:t>
            </w:r>
            <w:r w:rsidR="003B2A4B" w:rsidRPr="000B43D4">
              <w:rPr>
                <w:rFonts w:asciiTheme="minorEastAsia" w:eastAsiaTheme="minorEastAsia" w:hAnsiTheme="minorEastAsia" w:hint="eastAsia"/>
                <w:spacing w:val="2"/>
                <w:sz w:val="24"/>
                <w:szCs w:val="24"/>
              </w:rPr>
              <w:t>300MΩ，</w:t>
            </w:r>
            <w:r w:rsidR="003B2A4B" w:rsidRPr="000B43D4">
              <w:rPr>
                <w:rFonts w:asciiTheme="minorEastAsia" w:eastAsiaTheme="minorEastAsia" w:hAnsiTheme="minorEastAsia" w:hint="eastAsia"/>
                <w:sz w:val="24"/>
                <w:szCs w:val="24"/>
              </w:rPr>
              <w:t>提供第三方检测报告证明</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9</w:t>
            </w:r>
          </w:p>
        </w:tc>
        <w:tc>
          <w:tcPr>
            <w:tcW w:w="3370" w:type="dxa"/>
            <w:shd w:val="clear" w:color="000000" w:fill="FFFFFF"/>
            <w:vAlign w:val="center"/>
          </w:tcPr>
          <w:p w:rsidR="00DC0853" w:rsidRPr="000B43D4" w:rsidRDefault="003B2A4B"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输入短路噪声</w:t>
            </w:r>
          </w:p>
        </w:tc>
        <w:tc>
          <w:tcPr>
            <w:tcW w:w="4111" w:type="dxa"/>
            <w:shd w:val="clear" w:color="000000" w:fill="FFFFFF"/>
            <w:vAlign w:val="center"/>
          </w:tcPr>
          <w:p w:rsidR="00DC0853" w:rsidRPr="000B43D4" w:rsidRDefault="003B2A4B" w:rsidP="009E2697">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w:t>
            </w:r>
            <w:r w:rsidR="009E2697">
              <w:rPr>
                <w:rFonts w:asciiTheme="minorEastAsia" w:eastAsiaTheme="minorEastAsia" w:hAnsiTheme="minorEastAsia" w:hint="eastAsia"/>
                <w:spacing w:val="2"/>
                <w:sz w:val="24"/>
                <w:szCs w:val="24"/>
              </w:rPr>
              <w:t>1</w:t>
            </w:r>
            <w:r w:rsidRPr="000B43D4">
              <w:rPr>
                <w:rFonts w:asciiTheme="minorEastAsia" w:eastAsiaTheme="minorEastAsia" w:hAnsiTheme="minorEastAsia" w:hint="eastAsia"/>
                <w:spacing w:val="2"/>
                <w:sz w:val="24"/>
                <w:szCs w:val="24"/>
              </w:rPr>
              <w:t>μVrms</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10</w:t>
            </w:r>
          </w:p>
        </w:tc>
        <w:tc>
          <w:tcPr>
            <w:tcW w:w="3370" w:type="dxa"/>
            <w:shd w:val="clear" w:color="000000" w:fill="FFFFFF"/>
            <w:vAlign w:val="center"/>
          </w:tcPr>
          <w:p w:rsidR="00DC0853" w:rsidRPr="000B43D4" w:rsidRDefault="001853E4"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导航功能</w:t>
            </w:r>
          </w:p>
        </w:tc>
        <w:tc>
          <w:tcPr>
            <w:tcW w:w="4111" w:type="dxa"/>
            <w:shd w:val="clear" w:color="000000" w:fill="FFFFFF"/>
            <w:vAlign w:val="center"/>
          </w:tcPr>
          <w:p w:rsidR="00DC0853" w:rsidRPr="000B43D4" w:rsidRDefault="00F471F3"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具备</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11</w:t>
            </w:r>
          </w:p>
        </w:tc>
        <w:tc>
          <w:tcPr>
            <w:tcW w:w="3370"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自动诊断报告功能</w:t>
            </w:r>
          </w:p>
        </w:tc>
        <w:tc>
          <w:tcPr>
            <w:tcW w:w="4111"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具备</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12</w:t>
            </w:r>
          </w:p>
        </w:tc>
        <w:tc>
          <w:tcPr>
            <w:tcW w:w="3370"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可自定义报告格式</w:t>
            </w:r>
          </w:p>
        </w:tc>
        <w:tc>
          <w:tcPr>
            <w:tcW w:w="4111"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具备</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13</w:t>
            </w:r>
          </w:p>
        </w:tc>
        <w:tc>
          <w:tcPr>
            <w:tcW w:w="3370"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无需专用地线</w:t>
            </w:r>
            <w:r w:rsidRPr="000B43D4">
              <w:rPr>
                <w:rFonts w:asciiTheme="minorEastAsia" w:eastAsiaTheme="minorEastAsia" w:hAnsiTheme="minorEastAsia" w:hint="eastAsia"/>
                <w:spacing w:val="2"/>
                <w:sz w:val="24"/>
                <w:szCs w:val="24"/>
              </w:rPr>
              <w:t>，</w:t>
            </w:r>
            <w:r w:rsidRPr="000B43D4">
              <w:rPr>
                <w:rFonts w:asciiTheme="minorEastAsia" w:eastAsiaTheme="minorEastAsia" w:hAnsiTheme="minorEastAsia"/>
                <w:spacing w:val="2"/>
                <w:sz w:val="24"/>
                <w:szCs w:val="24"/>
              </w:rPr>
              <w:t>支持床旁检查</w:t>
            </w:r>
          </w:p>
        </w:tc>
        <w:tc>
          <w:tcPr>
            <w:tcW w:w="4111"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具备</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交货期：签订合同后</w:t>
      </w:r>
      <w:r w:rsidR="000B43D4" w:rsidRPr="00833A46">
        <w:rPr>
          <w:rFonts w:ascii="宋体" w:hAnsi="宋体" w:cs="宋体" w:hint="eastAsia"/>
          <w:kern w:val="0"/>
          <w:sz w:val="28"/>
          <w:szCs w:val="28"/>
        </w:rPr>
        <w:t>30</w:t>
      </w:r>
      <w:r w:rsidRPr="00833A46">
        <w:rPr>
          <w:rFonts w:ascii="宋体" w:hAnsi="宋体" w:cs="宋体" w:hint="eastAsia"/>
          <w:kern w:val="0"/>
          <w:sz w:val="28"/>
          <w:szCs w:val="28"/>
        </w:rPr>
        <w:t>天内</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交货地点：医院指定地点</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付款条件及方式：</w:t>
      </w:r>
      <w:r w:rsidR="007E3B1F" w:rsidRPr="00833A46">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833A46">
        <w:rPr>
          <w:rFonts w:ascii="宋体" w:hAnsi="宋体" w:cs="宋体" w:hint="eastAsia"/>
          <w:kern w:val="0"/>
          <w:sz w:val="28"/>
          <w:szCs w:val="28"/>
        </w:rPr>
        <w:lastRenderedPageBreak/>
        <w:t>满且设备正常工作，供应商履行保修义务，无质量问题即付清。</w:t>
      </w:r>
      <w:r w:rsidR="00416838" w:rsidRPr="00833A46">
        <w:rPr>
          <w:rFonts w:ascii="宋体" w:hAnsi="宋体" w:cs="宋体" w:hint="eastAsia"/>
          <w:kern w:val="0"/>
          <w:sz w:val="28"/>
          <w:szCs w:val="28"/>
        </w:rPr>
        <w:t>（合同约定的保修期大于</w:t>
      </w:r>
      <w:r w:rsidR="00804A1D" w:rsidRPr="00833A46">
        <w:rPr>
          <w:rFonts w:ascii="宋体" w:hAnsi="宋体" w:cs="宋体" w:hint="eastAsia"/>
          <w:kern w:val="0"/>
          <w:sz w:val="28"/>
          <w:szCs w:val="28"/>
        </w:rPr>
        <w:t>一年</w:t>
      </w:r>
      <w:r w:rsidR="00416838" w:rsidRPr="00833A46">
        <w:rPr>
          <w:rFonts w:ascii="宋体" w:hAnsi="宋体" w:cs="宋体" w:hint="eastAsia"/>
          <w:kern w:val="0"/>
          <w:sz w:val="28"/>
          <w:szCs w:val="28"/>
        </w:rPr>
        <w:t>的，凭厂家书面免费保修期承诺付清）</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保修期：≥</w:t>
      </w:r>
      <w:r w:rsidR="00991CCB" w:rsidRPr="00833A46">
        <w:rPr>
          <w:rFonts w:ascii="宋体" w:hAnsi="宋体" w:cs="宋体" w:hint="eastAsia"/>
          <w:kern w:val="0"/>
          <w:sz w:val="28"/>
          <w:szCs w:val="28"/>
        </w:rPr>
        <w:t>1</w:t>
      </w:r>
      <w:r w:rsidRPr="00833A46">
        <w:rPr>
          <w:rFonts w:ascii="宋体" w:hAnsi="宋体" w:cs="宋体" w:hint="eastAsia"/>
          <w:kern w:val="0"/>
          <w:sz w:val="28"/>
          <w:szCs w:val="28"/>
        </w:rPr>
        <w:t>年</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833A46" w:rsidRDefault="00F13A44" w:rsidP="00F13A44">
            <w:pPr>
              <w:spacing w:line="460" w:lineRule="exact"/>
              <w:jc w:val="left"/>
              <w:rPr>
                <w:rFonts w:ascii="宋体" w:hAnsi="宋体"/>
                <w:sz w:val="28"/>
                <w:szCs w:val="28"/>
                <w:highlight w:val="green"/>
              </w:rPr>
            </w:pPr>
            <w:r w:rsidRPr="00833A46">
              <w:rPr>
                <w:rFonts w:ascii="宋体" w:hAnsi="宋体" w:hint="eastAsia"/>
                <w:sz w:val="28"/>
                <w:szCs w:val="28"/>
              </w:rPr>
              <w:t>企业资质及产品注册证</w:t>
            </w:r>
          </w:p>
        </w:tc>
        <w:tc>
          <w:tcPr>
            <w:tcW w:w="4586" w:type="dxa"/>
            <w:tcBorders>
              <w:left w:val="single" w:sz="4" w:space="0" w:color="auto"/>
            </w:tcBorders>
            <w:vAlign w:val="center"/>
          </w:tcPr>
          <w:p w:rsidR="004D3260" w:rsidRPr="00833A46" w:rsidRDefault="000B43D4" w:rsidP="00D055A5">
            <w:pPr>
              <w:spacing w:line="460" w:lineRule="exact"/>
              <w:jc w:val="left"/>
              <w:rPr>
                <w:rFonts w:ascii="宋体" w:hAnsi="宋体"/>
                <w:sz w:val="28"/>
                <w:szCs w:val="28"/>
                <w:highlight w:val="green"/>
              </w:rPr>
            </w:pPr>
            <w:r w:rsidRPr="00833A46">
              <w:rPr>
                <w:rFonts w:ascii="宋体" w:hAnsi="宋体" w:cs="宋体" w:hint="eastAsia"/>
                <w:kern w:val="0"/>
                <w:sz w:val="28"/>
                <w:szCs w:val="28"/>
              </w:rPr>
              <w:t>供应商为境内生产企业的，必须具有医疗器械生产许可证；供应商为代理</w:t>
            </w:r>
            <w:r w:rsidRPr="00833A46">
              <w:rPr>
                <w:rFonts w:ascii="宋体" w:hAnsi="宋体" w:cs="宋体" w:hint="eastAsia"/>
                <w:kern w:val="0"/>
                <w:sz w:val="28"/>
                <w:szCs w:val="28"/>
              </w:rPr>
              <w:lastRenderedPageBreak/>
              <w:t>企业的，必须具有医疗器械经营备案凭证；所投产品需具备医疗器械注册证</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用户 评价</w:t>
            </w:r>
          </w:p>
        </w:tc>
        <w:tc>
          <w:tcPr>
            <w:tcW w:w="851" w:type="dxa"/>
            <w:vAlign w:val="center"/>
          </w:tcPr>
          <w:p w:rsidR="0058445D" w:rsidRPr="00D07531" w:rsidRDefault="000B43D4"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D07531" w:rsidRDefault="0058445D" w:rsidP="000B43D4">
            <w:pPr>
              <w:snapToGrid w:val="0"/>
              <w:spacing w:line="400" w:lineRule="exact"/>
              <w:jc w:val="left"/>
              <w:rPr>
                <w:rFonts w:ascii="宋体" w:hAnsi="宋体" w:cs="宋体"/>
                <w:sz w:val="24"/>
                <w:szCs w:val="28"/>
              </w:rPr>
            </w:pPr>
            <w:r w:rsidRPr="00D07531">
              <w:rPr>
                <w:rFonts w:ascii="宋体" w:hAnsi="宋体" w:cs="宋体" w:hint="eastAsia"/>
                <w:sz w:val="24"/>
                <w:szCs w:val="28"/>
              </w:rPr>
              <w:t>提供</w:t>
            </w:r>
            <w:r w:rsidR="00D57B76">
              <w:rPr>
                <w:rFonts w:ascii="宋体" w:hAnsi="宋体" w:cs="宋体" w:hint="eastAsia"/>
                <w:sz w:val="24"/>
                <w:szCs w:val="28"/>
              </w:rPr>
              <w:t>近三年</w:t>
            </w:r>
            <w:r w:rsidRPr="00D07531">
              <w:rPr>
                <w:rFonts w:ascii="宋体" w:hAnsi="宋体" w:cs="宋体" w:hint="eastAsia"/>
                <w:sz w:val="24"/>
                <w:szCs w:val="28"/>
              </w:rPr>
              <w:t>，针对所投产品的用户评价：用户评价整体优秀的每份1分，最高</w:t>
            </w:r>
            <w:r w:rsidR="000B43D4">
              <w:rPr>
                <w:rFonts w:ascii="宋体" w:hAnsi="宋体" w:cs="宋体" w:hint="eastAsia"/>
                <w:sz w:val="24"/>
                <w:szCs w:val="28"/>
              </w:rPr>
              <w:t>3</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0B43D4"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D07531" w:rsidRDefault="0058445D" w:rsidP="000B43D4">
            <w:pPr>
              <w:spacing w:line="360" w:lineRule="exact"/>
              <w:jc w:val="left"/>
              <w:rPr>
                <w:rFonts w:ascii="宋体" w:hAnsi="宋体"/>
                <w:sz w:val="24"/>
                <w:szCs w:val="28"/>
              </w:rPr>
            </w:pPr>
            <w:r w:rsidRPr="00D07531">
              <w:rPr>
                <w:rFonts w:ascii="宋体" w:hAnsi="宋体" w:hint="eastAsia"/>
                <w:sz w:val="24"/>
                <w:szCs w:val="28"/>
              </w:rPr>
              <w:t>提供</w:t>
            </w:r>
            <w:r w:rsidR="00D57B76">
              <w:rPr>
                <w:rFonts w:ascii="宋体" w:hAnsi="宋体" w:hint="eastAsia"/>
                <w:sz w:val="24"/>
                <w:szCs w:val="28"/>
              </w:rPr>
              <w:t>近三年</w:t>
            </w:r>
            <w:r w:rsidRPr="00D07531">
              <w:rPr>
                <w:rFonts w:ascii="宋体" w:hAnsi="宋体" w:hint="eastAsia"/>
                <w:sz w:val="24"/>
                <w:szCs w:val="28"/>
              </w:rPr>
              <w:t>，针对所投产品，每提供一份合格业绩得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0B43D4">
              <w:rPr>
                <w:rFonts w:ascii="宋体" w:hAnsi="宋体" w:hint="eastAsia"/>
                <w:sz w:val="24"/>
                <w:szCs w:val="28"/>
              </w:rPr>
              <w:t>5</w:t>
            </w:r>
            <w:r w:rsidRPr="00D07531">
              <w:rPr>
                <w:rFonts w:ascii="宋体" w:hAnsi="宋体" w:hint="eastAsia"/>
                <w:sz w:val="24"/>
                <w:szCs w:val="28"/>
              </w:rPr>
              <w:t>分。以中标通知书或采购合同为准（提供复印件并加盖公章），未提供以上证明材料，可被视为低于采购要求。注：业绩仅限</w:t>
            </w:r>
            <w:r w:rsidR="00D57B76">
              <w:rPr>
                <w:rFonts w:ascii="宋体" w:hAnsi="宋体" w:hint="eastAsia"/>
                <w:sz w:val="24"/>
                <w:szCs w:val="28"/>
              </w:rPr>
              <w:t>所投</w:t>
            </w:r>
            <w:r w:rsidRPr="00D07531">
              <w:rPr>
                <w:rFonts w:ascii="宋体" w:hAnsi="宋体" w:hint="eastAsia"/>
                <w:sz w:val="24"/>
                <w:szCs w:val="28"/>
              </w:rPr>
              <w:t>品牌（不限经销商）的同类产品（不限型号）即可。</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vAlign w:val="center"/>
          </w:tcPr>
          <w:p w:rsidR="0058445D" w:rsidRPr="00D07531" w:rsidRDefault="00FC10B3" w:rsidP="00D57B76">
            <w:pPr>
              <w:spacing w:line="360" w:lineRule="exact"/>
              <w:jc w:val="left"/>
              <w:rPr>
                <w:rFonts w:ascii="宋体" w:hAnsi="宋体"/>
                <w:sz w:val="24"/>
                <w:szCs w:val="28"/>
              </w:rPr>
            </w:pPr>
            <w:r>
              <w:rPr>
                <w:rFonts w:ascii="宋体" w:hAnsi="宋体" w:hint="eastAsia"/>
                <w:sz w:val="24"/>
                <w:szCs w:val="28"/>
              </w:rPr>
              <w:t>提供</w:t>
            </w:r>
            <w:r>
              <w:rPr>
                <w:rFonts w:ascii="宋体" w:hAnsi="宋体"/>
                <w:sz w:val="24"/>
                <w:szCs w:val="28"/>
              </w:rPr>
              <w:t>售后服务方案</w:t>
            </w:r>
            <w:r w:rsidR="00D409C2">
              <w:rPr>
                <w:rFonts w:ascii="宋体" w:hAnsi="宋体" w:hint="eastAsia"/>
                <w:sz w:val="24"/>
                <w:szCs w:val="28"/>
              </w:rPr>
              <w:t>（包括但不限于：培训方案、维修响应</w:t>
            </w:r>
            <w:r w:rsidR="000B43D4">
              <w:rPr>
                <w:rFonts w:ascii="宋体" w:hAnsi="宋体" w:hint="eastAsia"/>
                <w:sz w:val="24"/>
                <w:szCs w:val="28"/>
              </w:rPr>
              <w:t>时间</w:t>
            </w:r>
            <w:r w:rsidR="00D409C2">
              <w:rPr>
                <w:rFonts w:ascii="宋体" w:hAnsi="宋体" w:hint="eastAsia"/>
                <w:sz w:val="24"/>
                <w:szCs w:val="28"/>
              </w:rPr>
              <w:t>、维护保养计划等），方案内容完善，合理可行得8分；方案内容欠完善得4分；方案内容欠合理得2分；不提供不得分。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时间</w:t>
            </w:r>
          </w:p>
        </w:tc>
        <w:tc>
          <w:tcPr>
            <w:tcW w:w="851" w:type="dxa"/>
            <w:vAlign w:val="center"/>
          </w:tcPr>
          <w:p w:rsidR="0058445D" w:rsidRPr="00D07531" w:rsidRDefault="000B43D4" w:rsidP="00A20CC5">
            <w:pPr>
              <w:snapToGrid w:val="0"/>
              <w:spacing w:line="400" w:lineRule="exact"/>
              <w:jc w:val="center"/>
              <w:rPr>
                <w:rFonts w:ascii="宋体" w:hAnsi="宋体" w:cs="宋体"/>
                <w:sz w:val="28"/>
                <w:szCs w:val="28"/>
              </w:rPr>
            </w:pPr>
            <w:r>
              <w:rPr>
                <w:rFonts w:ascii="宋体" w:hAnsi="宋体" w:cs="宋体" w:hint="eastAsia"/>
                <w:sz w:val="28"/>
                <w:szCs w:val="28"/>
              </w:rPr>
              <w:t>4</w:t>
            </w:r>
          </w:p>
        </w:tc>
        <w:tc>
          <w:tcPr>
            <w:tcW w:w="7065" w:type="dxa"/>
          </w:tcPr>
          <w:p w:rsidR="0058445D" w:rsidRPr="00D07531" w:rsidRDefault="0058445D" w:rsidP="000B43D4">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供应商提供承诺书：在商务条款中要求的质保时长的基础上，每增加一年原厂质保的得2分，最多得</w:t>
            </w:r>
            <w:r w:rsidR="000B43D4">
              <w:rPr>
                <w:rFonts w:ascii="宋体" w:hAnsi="宋体" w:hint="eastAsia"/>
                <w:sz w:val="24"/>
                <w:szCs w:val="28"/>
              </w:rPr>
              <w:t>4</w:t>
            </w:r>
            <w:r w:rsidRPr="00D07531">
              <w:rPr>
                <w:rFonts w:ascii="宋体" w:hAnsi="宋体" w:hint="eastAsia"/>
                <w:sz w:val="24"/>
                <w:szCs w:val="28"/>
              </w:rPr>
              <w:t>分（提供加盖原厂公章的承诺书原件）。若未加盖原厂公章，只有供应商公章，则每增加一年的得1分</w:t>
            </w:r>
            <w:r w:rsidR="00D409C2">
              <w:rPr>
                <w:rFonts w:ascii="宋体" w:hAnsi="宋体" w:hint="eastAsia"/>
                <w:sz w:val="24"/>
                <w:szCs w:val="28"/>
              </w:rPr>
              <w:t>，</w:t>
            </w:r>
            <w:r w:rsidRPr="00D07531">
              <w:rPr>
                <w:rFonts w:ascii="宋体" w:hAnsi="宋体" w:hint="eastAsia"/>
                <w:sz w:val="24"/>
                <w:szCs w:val="28"/>
              </w:rPr>
              <w:t>最多得</w:t>
            </w:r>
            <w:r w:rsidR="000B43D4">
              <w:rPr>
                <w:rFonts w:ascii="宋体" w:hAnsi="宋体" w:hint="eastAsia"/>
                <w:sz w:val="24"/>
                <w:szCs w:val="28"/>
              </w:rPr>
              <w:t>2</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w:t>
      </w:r>
      <w:r w:rsidRPr="00137B0B">
        <w:rPr>
          <w:rFonts w:ascii="宋体" w:hAnsi="宋体" w:hint="eastAsia"/>
          <w:kern w:val="0"/>
          <w:sz w:val="28"/>
          <w:szCs w:val="28"/>
        </w:rPr>
        <w:lastRenderedPageBreak/>
        <w:t>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833A46" w:rsidRDefault="00833A46" w:rsidP="00833A46">
      <w:pPr>
        <w:pStyle w:val="1"/>
        <w:jc w:val="center"/>
      </w:pPr>
      <w:bookmarkStart w:id="2" w:name="_Toc462487372"/>
      <w:bookmarkStart w:id="3" w:name="_Toc456291354"/>
      <w:bookmarkStart w:id="4" w:name="_Toc456291260"/>
      <w:bookmarkStart w:id="5" w:name="_Toc456291479"/>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833A46" w:rsidRDefault="00833A46" w:rsidP="00833A46">
      <w:pPr>
        <w:rPr>
          <w:rFonts w:ascii="宋体" w:hAnsi="宋体"/>
        </w:rPr>
      </w:pPr>
    </w:p>
    <w:p w:rsidR="00833A46" w:rsidRDefault="00833A46" w:rsidP="00833A46">
      <w:pPr>
        <w:pStyle w:val="4"/>
        <w:jc w:val="center"/>
        <w:rPr>
          <w:rFonts w:ascii="黑体" w:eastAsia="黑体" w:hAnsi="黑体"/>
          <w:b/>
          <w:bCs/>
          <w:sz w:val="44"/>
          <w:szCs w:val="44"/>
        </w:rPr>
      </w:pPr>
    </w:p>
    <w:p w:rsidR="00833A46" w:rsidRDefault="00833A46" w:rsidP="00833A46">
      <w:pPr>
        <w:pStyle w:val="4"/>
        <w:jc w:val="center"/>
        <w:rPr>
          <w:rFonts w:ascii="黑体" w:eastAsia="黑体" w:hAnsi="黑体"/>
          <w:b/>
          <w:bCs/>
          <w:sz w:val="44"/>
          <w:szCs w:val="44"/>
        </w:rPr>
      </w:pPr>
    </w:p>
    <w:p w:rsidR="00833A46" w:rsidRDefault="00833A46" w:rsidP="00833A46">
      <w:pPr>
        <w:pStyle w:val="4"/>
        <w:rPr>
          <w:rFonts w:ascii="楷体_GB2312" w:eastAsia="楷体_GB2312"/>
          <w:b/>
          <w:bCs/>
          <w:sz w:val="54"/>
        </w:rPr>
      </w:pPr>
    </w:p>
    <w:p w:rsidR="00833A46" w:rsidRDefault="00833A46" w:rsidP="00833A46">
      <w:pPr>
        <w:pStyle w:val="4"/>
        <w:jc w:val="center"/>
        <w:rPr>
          <w:rFonts w:ascii="黑体" w:eastAsia="黑体" w:hAnsi="黑体"/>
          <w:b/>
          <w:bCs/>
          <w:sz w:val="88"/>
          <w:szCs w:val="88"/>
        </w:rPr>
      </w:pPr>
      <w:r>
        <w:rPr>
          <w:rFonts w:ascii="黑体" w:eastAsia="黑体" w:hAnsi="黑体" w:hint="eastAsia"/>
          <w:b/>
          <w:bCs/>
          <w:sz w:val="88"/>
          <w:szCs w:val="88"/>
        </w:rPr>
        <w:t>投标文件</w:t>
      </w:r>
    </w:p>
    <w:p w:rsidR="00833A46" w:rsidRDefault="00833A46" w:rsidP="00833A46">
      <w:pPr>
        <w:pStyle w:val="4"/>
        <w:spacing w:line="500" w:lineRule="exact"/>
        <w:rPr>
          <w:rFonts w:ascii="楷体_GB2312" w:eastAsia="楷体_GB2312"/>
          <w:b/>
          <w:sz w:val="32"/>
          <w:szCs w:val="32"/>
        </w:rPr>
      </w:pPr>
    </w:p>
    <w:p w:rsidR="00833A46" w:rsidRDefault="00833A46" w:rsidP="00833A46">
      <w:pPr>
        <w:pStyle w:val="4"/>
        <w:spacing w:line="500" w:lineRule="exact"/>
        <w:ind w:firstLineChars="200" w:firstLine="562"/>
        <w:rPr>
          <w:rFonts w:ascii="楷体_GB2312" w:eastAsia="楷体_GB2312"/>
          <w:b/>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33A46" w:rsidRDefault="00833A46" w:rsidP="00833A4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33A46" w:rsidRDefault="00833A46" w:rsidP="00833A4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33A46" w:rsidRDefault="00833A46" w:rsidP="00833A4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33A46" w:rsidRDefault="00833A46" w:rsidP="00833A46">
      <w:pPr>
        <w:ind w:leftChars="-67" w:left="-141" w:rightChars="-94" w:right="-197" w:firstLineChars="200" w:firstLine="883"/>
        <w:jc w:val="center"/>
        <w:rPr>
          <w:rFonts w:ascii="宋体" w:hAnsi="宋体"/>
          <w:b/>
          <w:sz w:val="44"/>
        </w:rPr>
      </w:pPr>
    </w:p>
    <w:p w:rsidR="00833A46" w:rsidRDefault="00833A46" w:rsidP="00833A46">
      <w:pPr>
        <w:ind w:leftChars="-67" w:left="-141" w:rightChars="-94" w:right="-197" w:firstLineChars="200" w:firstLine="883"/>
        <w:jc w:val="center"/>
        <w:rPr>
          <w:rFonts w:ascii="宋体" w:hAnsi="宋体"/>
          <w:b/>
          <w:sz w:val="44"/>
        </w:rPr>
      </w:pPr>
    </w:p>
    <w:p w:rsidR="00833A46" w:rsidRDefault="00833A46" w:rsidP="00833A46">
      <w:pPr>
        <w:ind w:leftChars="-67" w:left="-141" w:rightChars="-94" w:right="-197" w:firstLineChars="200" w:firstLine="883"/>
        <w:jc w:val="center"/>
        <w:rPr>
          <w:rFonts w:ascii="宋体" w:hAnsi="宋体"/>
          <w:b/>
          <w:sz w:val="44"/>
        </w:rPr>
      </w:pPr>
    </w:p>
    <w:p w:rsidR="00833A46" w:rsidRDefault="00833A46" w:rsidP="00833A46">
      <w:pPr>
        <w:spacing w:line="360" w:lineRule="auto"/>
        <w:jc w:val="center"/>
        <w:rPr>
          <w:rFonts w:ascii="宋体" w:hAnsi="宋体"/>
          <w:b/>
          <w:sz w:val="28"/>
        </w:rPr>
      </w:pPr>
      <w:r>
        <w:rPr>
          <w:rFonts w:ascii="宋体" w:hAnsi="宋体" w:hint="eastAsia"/>
          <w:b/>
          <w:sz w:val="28"/>
        </w:rPr>
        <w:lastRenderedPageBreak/>
        <w:t>法定代表人资格证明书</w:t>
      </w:r>
    </w:p>
    <w:p w:rsidR="00833A46" w:rsidRDefault="00833A46" w:rsidP="00833A46">
      <w:pPr>
        <w:spacing w:line="360" w:lineRule="auto"/>
        <w:rPr>
          <w:rFonts w:ascii="宋体" w:hAnsi="宋体"/>
          <w:sz w:val="24"/>
        </w:rPr>
      </w:pPr>
    </w:p>
    <w:p w:rsidR="00833A46" w:rsidRDefault="00833A46" w:rsidP="00833A4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33A46" w:rsidRDefault="00833A46" w:rsidP="00833A4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33A46" w:rsidTr="001C2C9E">
        <w:trPr>
          <w:trHeight w:val="2988"/>
        </w:trPr>
        <w:tc>
          <w:tcPr>
            <w:tcW w:w="6804" w:type="dxa"/>
            <w:tcBorders>
              <w:top w:val="single" w:sz="4" w:space="0" w:color="auto"/>
              <w:left w:val="single" w:sz="4" w:space="0" w:color="auto"/>
              <w:bottom w:val="single" w:sz="4" w:space="0" w:color="auto"/>
              <w:right w:val="single" w:sz="4" w:space="0" w:color="auto"/>
            </w:tcBorders>
          </w:tcPr>
          <w:p w:rsidR="00833A46" w:rsidRDefault="00833A46" w:rsidP="001C2C9E">
            <w:pPr>
              <w:pStyle w:val="000"/>
              <w:adjustRightInd w:val="0"/>
              <w:snapToGrid w:val="0"/>
              <w:spacing w:line="500" w:lineRule="exact"/>
              <w:jc w:val="center"/>
              <w:rPr>
                <w:rFonts w:ascii="宋体" w:hAnsi="宋体"/>
                <w:szCs w:val="28"/>
              </w:rPr>
            </w:pPr>
          </w:p>
          <w:p w:rsidR="00833A46" w:rsidRDefault="00833A46" w:rsidP="001C2C9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33A46" w:rsidRDefault="00833A46" w:rsidP="001C2C9E">
            <w:pPr>
              <w:pStyle w:val="000"/>
              <w:adjustRightInd w:val="0"/>
              <w:snapToGrid w:val="0"/>
              <w:spacing w:line="500" w:lineRule="exact"/>
              <w:jc w:val="center"/>
              <w:rPr>
                <w:rFonts w:ascii="宋体" w:hAnsi="宋体"/>
                <w:szCs w:val="28"/>
              </w:rPr>
            </w:pPr>
          </w:p>
        </w:tc>
      </w:tr>
    </w:tbl>
    <w:p w:rsidR="00833A46" w:rsidRDefault="00833A46" w:rsidP="00833A46">
      <w:pPr>
        <w:pStyle w:val="000"/>
        <w:adjustRightInd w:val="0"/>
        <w:snapToGrid w:val="0"/>
        <w:spacing w:line="500" w:lineRule="exact"/>
        <w:rPr>
          <w:rFonts w:ascii="宋体" w:hAnsi="宋体"/>
          <w:szCs w:val="28"/>
        </w:rPr>
      </w:pP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33A46" w:rsidRDefault="00833A46" w:rsidP="00833A46">
      <w:pPr>
        <w:spacing w:line="360" w:lineRule="auto"/>
        <w:jc w:val="right"/>
        <w:rPr>
          <w:rFonts w:ascii="宋体" w:hAnsi="宋体"/>
          <w:sz w:val="24"/>
        </w:rPr>
      </w:pPr>
    </w:p>
    <w:p w:rsidR="00833A46" w:rsidRDefault="00833A46" w:rsidP="00833A4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33A46" w:rsidRDefault="00833A46" w:rsidP="00833A46">
      <w:pPr>
        <w:spacing w:line="360" w:lineRule="auto"/>
        <w:jc w:val="right"/>
        <w:rPr>
          <w:rFonts w:ascii="宋体" w:hAnsi="宋体"/>
          <w:sz w:val="24"/>
        </w:rPr>
        <w:sectPr w:rsidR="00833A46">
          <w:pgSz w:w="11906" w:h="16838"/>
          <w:pgMar w:top="1440" w:right="1800" w:bottom="1440" w:left="1800" w:header="851" w:footer="992" w:gutter="0"/>
          <w:cols w:space="720"/>
          <w:docGrid w:type="lines" w:linePitch="312"/>
        </w:sectPr>
      </w:pPr>
    </w:p>
    <w:p w:rsidR="00833A46" w:rsidRDefault="00833A46" w:rsidP="00833A46">
      <w:pPr>
        <w:pStyle w:val="300"/>
      </w:pPr>
      <w:r>
        <w:rPr>
          <w:rFonts w:hint="eastAsia"/>
        </w:rPr>
        <w:lastRenderedPageBreak/>
        <w:t xml:space="preserve">单位负责人资格证明文件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33A46" w:rsidRDefault="00833A46" w:rsidP="00833A4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33A46" w:rsidRDefault="00833A46" w:rsidP="00833A4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33A46" w:rsidRDefault="00833A46" w:rsidP="00833A4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33A46" w:rsidTr="001C2C9E">
        <w:trPr>
          <w:trHeight w:val="2988"/>
        </w:trPr>
        <w:tc>
          <w:tcPr>
            <w:tcW w:w="6804" w:type="dxa"/>
            <w:tcBorders>
              <w:top w:val="single" w:sz="4" w:space="0" w:color="auto"/>
              <w:left w:val="single" w:sz="4" w:space="0" w:color="auto"/>
              <w:bottom w:val="single" w:sz="4" w:space="0" w:color="auto"/>
              <w:right w:val="single" w:sz="4" w:space="0" w:color="auto"/>
            </w:tcBorders>
          </w:tcPr>
          <w:p w:rsidR="00833A46" w:rsidRDefault="00833A46" w:rsidP="001C2C9E">
            <w:pPr>
              <w:pStyle w:val="000"/>
              <w:adjustRightInd w:val="0"/>
              <w:snapToGrid w:val="0"/>
              <w:spacing w:line="500" w:lineRule="exact"/>
              <w:jc w:val="center"/>
              <w:rPr>
                <w:rFonts w:ascii="宋体" w:hAnsi="宋体"/>
                <w:szCs w:val="28"/>
              </w:rPr>
            </w:pPr>
          </w:p>
          <w:p w:rsidR="00833A46" w:rsidRDefault="00833A46" w:rsidP="001C2C9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33A46" w:rsidRDefault="00833A46" w:rsidP="001C2C9E">
            <w:pPr>
              <w:pStyle w:val="000"/>
              <w:adjustRightInd w:val="0"/>
              <w:snapToGrid w:val="0"/>
              <w:spacing w:line="500" w:lineRule="exact"/>
              <w:jc w:val="center"/>
              <w:rPr>
                <w:rFonts w:ascii="宋体" w:hAnsi="宋体"/>
                <w:szCs w:val="28"/>
              </w:rPr>
            </w:pPr>
          </w:p>
        </w:tc>
      </w:tr>
    </w:tbl>
    <w:p w:rsidR="00833A46" w:rsidRDefault="00833A46" w:rsidP="00833A46">
      <w:pPr>
        <w:pStyle w:val="000"/>
        <w:adjustRightInd w:val="0"/>
        <w:snapToGrid w:val="0"/>
        <w:spacing w:line="500" w:lineRule="exact"/>
        <w:rPr>
          <w:rFonts w:ascii="宋体" w:hAnsi="宋体"/>
          <w:szCs w:val="28"/>
        </w:rPr>
      </w:pPr>
    </w:p>
    <w:p w:rsidR="00833A46" w:rsidRDefault="00833A46" w:rsidP="00833A4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33A46" w:rsidRDefault="00833A46" w:rsidP="00833A4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33A46" w:rsidRDefault="00833A46" w:rsidP="00833A4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33A46" w:rsidRDefault="00833A46" w:rsidP="00833A46">
      <w:pPr>
        <w:spacing w:line="360" w:lineRule="auto"/>
        <w:jc w:val="right"/>
        <w:rPr>
          <w:rFonts w:ascii="宋体" w:hAnsi="宋体"/>
          <w:sz w:val="24"/>
        </w:rPr>
      </w:pPr>
    </w:p>
    <w:p w:rsidR="00833A46" w:rsidRDefault="00833A46" w:rsidP="00833A46">
      <w:pPr>
        <w:spacing w:line="360" w:lineRule="auto"/>
        <w:jc w:val="center"/>
        <w:rPr>
          <w:rFonts w:ascii="宋体" w:hAnsi="宋体"/>
          <w:b/>
          <w:sz w:val="28"/>
          <w:szCs w:val="28"/>
        </w:rPr>
        <w:sectPr w:rsidR="00833A4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33A46" w:rsidRDefault="00833A46" w:rsidP="00833A46">
      <w:pPr>
        <w:pStyle w:val="300"/>
      </w:pPr>
      <w:r>
        <w:rPr>
          <w:rFonts w:hint="eastAsia"/>
        </w:rPr>
        <w:lastRenderedPageBreak/>
        <w:t xml:space="preserve">自然人资格证明文件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33A46" w:rsidRDefault="00833A46" w:rsidP="00833A4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33A46" w:rsidTr="001C2C9E">
        <w:trPr>
          <w:trHeight w:val="2988"/>
        </w:trPr>
        <w:tc>
          <w:tcPr>
            <w:tcW w:w="6804" w:type="dxa"/>
            <w:tcBorders>
              <w:top w:val="single" w:sz="4" w:space="0" w:color="auto"/>
              <w:left w:val="single" w:sz="4" w:space="0" w:color="auto"/>
              <w:bottom w:val="single" w:sz="4" w:space="0" w:color="auto"/>
              <w:right w:val="single" w:sz="4" w:space="0" w:color="auto"/>
            </w:tcBorders>
          </w:tcPr>
          <w:p w:rsidR="00833A46" w:rsidRDefault="00833A46" w:rsidP="001C2C9E">
            <w:pPr>
              <w:pStyle w:val="000"/>
              <w:adjustRightInd w:val="0"/>
              <w:snapToGrid w:val="0"/>
              <w:spacing w:line="500" w:lineRule="exact"/>
              <w:jc w:val="center"/>
              <w:rPr>
                <w:rFonts w:ascii="宋体" w:hAnsi="宋体"/>
                <w:szCs w:val="28"/>
              </w:rPr>
            </w:pPr>
          </w:p>
          <w:p w:rsidR="00833A46" w:rsidRDefault="00833A46" w:rsidP="001C2C9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33A46" w:rsidRDefault="00833A46" w:rsidP="001C2C9E">
            <w:pPr>
              <w:pStyle w:val="000"/>
              <w:adjustRightInd w:val="0"/>
              <w:snapToGrid w:val="0"/>
              <w:spacing w:line="500" w:lineRule="exact"/>
              <w:jc w:val="center"/>
              <w:rPr>
                <w:rFonts w:ascii="宋体" w:hAnsi="宋体"/>
                <w:szCs w:val="28"/>
              </w:rPr>
            </w:pPr>
          </w:p>
        </w:tc>
      </w:tr>
    </w:tbl>
    <w:p w:rsidR="00833A46" w:rsidRDefault="00833A46" w:rsidP="00833A46">
      <w:pPr>
        <w:pStyle w:val="000"/>
        <w:adjustRightInd w:val="0"/>
        <w:snapToGrid w:val="0"/>
        <w:spacing w:line="500" w:lineRule="exact"/>
        <w:ind w:left="0" w:firstLine="0"/>
        <w:rPr>
          <w:rFonts w:ascii="宋体" w:hAnsi="宋体"/>
          <w:szCs w:val="28"/>
        </w:rPr>
      </w:pPr>
    </w:p>
    <w:p w:rsidR="00833A46" w:rsidRDefault="00833A46" w:rsidP="00833A4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33A46" w:rsidRDefault="00833A46" w:rsidP="00833A4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33A46" w:rsidRDefault="00833A46" w:rsidP="00833A4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33A46" w:rsidRDefault="00833A46" w:rsidP="00833A46">
      <w:pPr>
        <w:pStyle w:val="300"/>
        <w:jc w:val="both"/>
        <w:rPr>
          <w:b w:val="0"/>
        </w:rPr>
      </w:pPr>
    </w:p>
    <w:p w:rsidR="00833A46" w:rsidRDefault="00833A46" w:rsidP="00833A46">
      <w:pPr>
        <w:pStyle w:val="30"/>
        <w:rPr>
          <w:sz w:val="28"/>
          <w:szCs w:val="28"/>
        </w:rPr>
        <w:sectPr w:rsidR="00833A4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33A46" w:rsidRDefault="00833A46" w:rsidP="00833A46">
      <w:pPr>
        <w:pStyle w:val="300"/>
      </w:pPr>
      <w:r>
        <w:rPr>
          <w:rFonts w:hint="eastAsia"/>
        </w:rPr>
        <w:lastRenderedPageBreak/>
        <w:t>授权委托书</w:t>
      </w:r>
    </w:p>
    <w:p w:rsidR="00833A46" w:rsidRDefault="00833A46" w:rsidP="00833A4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33A46" w:rsidRDefault="00833A46" w:rsidP="00833A4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33A46" w:rsidRDefault="00833A46" w:rsidP="00833A4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33A46" w:rsidRDefault="00833A46" w:rsidP="00833A4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33A46" w:rsidRDefault="00833A46" w:rsidP="00833A4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33A46" w:rsidRDefault="00833A46" w:rsidP="00833A46">
      <w:pPr>
        <w:pStyle w:val="000"/>
        <w:spacing w:before="0" w:after="0" w:line="240" w:lineRule="auto"/>
        <w:ind w:left="0" w:firstLine="0"/>
        <w:rPr>
          <w:rFonts w:ascii="宋体" w:hAnsi="宋体"/>
          <w:szCs w:val="28"/>
        </w:rPr>
      </w:pPr>
      <w:r>
        <w:rPr>
          <w:rFonts w:ascii="宋体" w:hAnsi="宋体" w:hint="eastAsia"/>
          <w:szCs w:val="28"/>
        </w:rPr>
        <w:t>附：</w:t>
      </w:r>
    </w:p>
    <w:p w:rsidR="00833A46" w:rsidRDefault="00833A46" w:rsidP="00833A4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33A46" w:rsidRDefault="00833A46" w:rsidP="00833A4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33A46" w:rsidTr="001C2C9E">
        <w:trPr>
          <w:trHeight w:val="3862"/>
        </w:trPr>
        <w:tc>
          <w:tcPr>
            <w:tcW w:w="7663" w:type="dxa"/>
            <w:tcBorders>
              <w:top w:val="single" w:sz="4" w:space="0" w:color="auto"/>
              <w:left w:val="single" w:sz="4" w:space="0" w:color="auto"/>
              <w:bottom w:val="single" w:sz="4" w:space="0" w:color="auto"/>
              <w:right w:val="single" w:sz="4" w:space="0" w:color="auto"/>
            </w:tcBorders>
          </w:tcPr>
          <w:p w:rsidR="00833A46" w:rsidRDefault="00833A46" w:rsidP="001C2C9E">
            <w:pPr>
              <w:pStyle w:val="000"/>
              <w:spacing w:line="500" w:lineRule="exact"/>
              <w:rPr>
                <w:rFonts w:ascii="宋体" w:hAnsi="宋体"/>
                <w:szCs w:val="28"/>
              </w:rPr>
            </w:pPr>
            <w:r>
              <w:rPr>
                <w:rFonts w:ascii="宋体" w:hAnsi="宋体" w:hint="eastAsia"/>
                <w:szCs w:val="28"/>
              </w:rPr>
              <w:t>粘贴被授权人身份证（扫描件）</w:t>
            </w:r>
          </w:p>
          <w:p w:rsidR="00833A46" w:rsidRDefault="00833A46" w:rsidP="001C2C9E">
            <w:pPr>
              <w:pStyle w:val="000"/>
              <w:spacing w:line="500" w:lineRule="exact"/>
              <w:rPr>
                <w:rFonts w:ascii="宋体" w:hAnsi="宋体"/>
                <w:szCs w:val="28"/>
              </w:rPr>
            </w:pPr>
          </w:p>
        </w:tc>
      </w:tr>
    </w:tbl>
    <w:p w:rsidR="00833A46" w:rsidRDefault="00833A46" w:rsidP="00833A46">
      <w:pPr>
        <w:pStyle w:val="30"/>
        <w:rPr>
          <w:sz w:val="28"/>
          <w:szCs w:val="28"/>
        </w:rPr>
        <w:sectPr w:rsidR="00833A4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833A46" w:rsidRPr="0090482A" w:rsidRDefault="00833A46" w:rsidP="00833A46">
      <w:pPr>
        <w:jc w:val="center"/>
        <w:rPr>
          <w:rFonts w:ascii="宋体" w:hAnsi="宋体"/>
          <w:b/>
          <w:sz w:val="36"/>
          <w:szCs w:val="28"/>
        </w:rPr>
      </w:pPr>
      <w:r w:rsidRPr="0090482A">
        <w:rPr>
          <w:rFonts w:ascii="宋体" w:hAnsi="宋体"/>
          <w:b/>
          <w:bCs/>
          <w:sz w:val="36"/>
          <w:szCs w:val="28"/>
        </w:rPr>
        <w:lastRenderedPageBreak/>
        <w:t>承诺函</w:t>
      </w:r>
    </w:p>
    <w:p w:rsidR="00833A46" w:rsidRPr="0090482A" w:rsidRDefault="00833A46" w:rsidP="00833A46">
      <w:pPr>
        <w:jc w:val="center"/>
        <w:rPr>
          <w:rFonts w:ascii="宋体" w:hAnsi="宋体"/>
          <w:b/>
          <w:sz w:val="28"/>
          <w:szCs w:val="28"/>
        </w:rPr>
      </w:pPr>
    </w:p>
    <w:p w:rsidR="00833A46" w:rsidRPr="0090482A" w:rsidRDefault="00833A46" w:rsidP="00833A46">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833A46" w:rsidRPr="0090482A" w:rsidRDefault="00833A46" w:rsidP="00833A4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833A46" w:rsidRPr="0090482A" w:rsidRDefault="00833A46" w:rsidP="00833A4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833A46" w:rsidRPr="0090482A" w:rsidRDefault="00833A46" w:rsidP="00833A4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833A46" w:rsidRPr="0090482A" w:rsidRDefault="00833A46" w:rsidP="00833A46">
      <w:pPr>
        <w:tabs>
          <w:tab w:val="left" w:pos="854"/>
        </w:tabs>
        <w:spacing w:line="360" w:lineRule="auto"/>
        <w:rPr>
          <w:rFonts w:ascii="宋体" w:hAnsi="宋体"/>
          <w:bCs/>
          <w:sz w:val="28"/>
          <w:szCs w:val="28"/>
        </w:rPr>
      </w:pPr>
    </w:p>
    <w:p w:rsidR="00833A46" w:rsidRPr="0090482A" w:rsidRDefault="00833A46" w:rsidP="00833A46">
      <w:pPr>
        <w:tabs>
          <w:tab w:val="left" w:pos="854"/>
        </w:tabs>
        <w:spacing w:line="360" w:lineRule="auto"/>
        <w:rPr>
          <w:rFonts w:ascii="宋体" w:hAnsi="宋体"/>
          <w:bCs/>
          <w:sz w:val="28"/>
          <w:szCs w:val="28"/>
        </w:rPr>
      </w:pPr>
    </w:p>
    <w:p w:rsidR="00833A46" w:rsidRPr="0090482A" w:rsidRDefault="00833A46" w:rsidP="00833A46">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833A46" w:rsidRPr="0090482A" w:rsidRDefault="00833A46" w:rsidP="00833A46">
      <w:pPr>
        <w:spacing w:line="500" w:lineRule="exact"/>
        <w:ind w:firstLine="720"/>
        <w:rPr>
          <w:rFonts w:ascii="宋体" w:hAnsi="宋体"/>
          <w:kern w:val="0"/>
          <w:sz w:val="28"/>
          <w:szCs w:val="28"/>
        </w:rPr>
      </w:pPr>
    </w:p>
    <w:p w:rsidR="00833A46" w:rsidRPr="0090482A" w:rsidRDefault="00833A46" w:rsidP="00833A46">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833A46" w:rsidRPr="0090482A" w:rsidRDefault="00833A46" w:rsidP="00833A46">
      <w:pPr>
        <w:pStyle w:val="000"/>
        <w:spacing w:before="0" w:after="0" w:line="240" w:lineRule="auto"/>
        <w:ind w:left="1070" w:hangingChars="382" w:hanging="1070"/>
        <w:jc w:val="left"/>
        <w:rPr>
          <w:rFonts w:ascii="宋体" w:hAnsi="宋体"/>
          <w:kern w:val="0"/>
          <w:szCs w:val="28"/>
        </w:rPr>
      </w:pPr>
    </w:p>
    <w:p w:rsidR="00833A46" w:rsidRPr="0090482A" w:rsidRDefault="00833A46" w:rsidP="00833A46">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833A46">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5A" w:rsidRDefault="0021735A" w:rsidP="00D3588F">
      <w:pPr>
        <w:rPr>
          <w:rFonts w:cs="Times New Roman"/>
        </w:rPr>
      </w:pPr>
      <w:r>
        <w:rPr>
          <w:rFonts w:cs="Times New Roman"/>
        </w:rPr>
        <w:separator/>
      </w:r>
    </w:p>
  </w:endnote>
  <w:endnote w:type="continuationSeparator" w:id="0">
    <w:p w:rsidR="0021735A" w:rsidRDefault="0021735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5A" w:rsidRDefault="0021735A" w:rsidP="00D3588F">
      <w:pPr>
        <w:rPr>
          <w:rFonts w:cs="Times New Roman"/>
        </w:rPr>
      </w:pPr>
      <w:r>
        <w:rPr>
          <w:rFonts w:cs="Times New Roman"/>
        </w:rPr>
        <w:separator/>
      </w:r>
    </w:p>
  </w:footnote>
  <w:footnote w:type="continuationSeparator" w:id="0">
    <w:p w:rsidR="0021735A" w:rsidRDefault="0021735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3419"/>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371B"/>
    <w:rsid w:val="000B3D35"/>
    <w:rsid w:val="000B4326"/>
    <w:rsid w:val="000B43D4"/>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3AC7"/>
    <w:rsid w:val="001661E7"/>
    <w:rsid w:val="001720DE"/>
    <w:rsid w:val="001836E3"/>
    <w:rsid w:val="001853E4"/>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1735A"/>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FA1"/>
    <w:rsid w:val="00375C13"/>
    <w:rsid w:val="003771B9"/>
    <w:rsid w:val="003849CB"/>
    <w:rsid w:val="00386D5E"/>
    <w:rsid w:val="00387D36"/>
    <w:rsid w:val="00390E30"/>
    <w:rsid w:val="003928B5"/>
    <w:rsid w:val="00394CBD"/>
    <w:rsid w:val="0039537B"/>
    <w:rsid w:val="00396C9D"/>
    <w:rsid w:val="003A4A61"/>
    <w:rsid w:val="003B2A4B"/>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76C6B"/>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B9F"/>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0B96"/>
    <w:rsid w:val="006A466A"/>
    <w:rsid w:val="006A642F"/>
    <w:rsid w:val="006B32B7"/>
    <w:rsid w:val="006C50FE"/>
    <w:rsid w:val="006D52F7"/>
    <w:rsid w:val="006D6CC3"/>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30026"/>
    <w:rsid w:val="00831159"/>
    <w:rsid w:val="00832AA4"/>
    <w:rsid w:val="00833A46"/>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44BA"/>
    <w:rsid w:val="008E60C8"/>
    <w:rsid w:val="008F0A62"/>
    <w:rsid w:val="008F19F6"/>
    <w:rsid w:val="00903433"/>
    <w:rsid w:val="00903484"/>
    <w:rsid w:val="00914444"/>
    <w:rsid w:val="00914E2D"/>
    <w:rsid w:val="00927363"/>
    <w:rsid w:val="009309C0"/>
    <w:rsid w:val="009379AB"/>
    <w:rsid w:val="00942F40"/>
    <w:rsid w:val="0094776F"/>
    <w:rsid w:val="00957A82"/>
    <w:rsid w:val="0096780D"/>
    <w:rsid w:val="009730BC"/>
    <w:rsid w:val="00974385"/>
    <w:rsid w:val="0097532D"/>
    <w:rsid w:val="009766A2"/>
    <w:rsid w:val="009772A8"/>
    <w:rsid w:val="009818DC"/>
    <w:rsid w:val="00986E33"/>
    <w:rsid w:val="00991CCB"/>
    <w:rsid w:val="00994250"/>
    <w:rsid w:val="009A0553"/>
    <w:rsid w:val="009B21DA"/>
    <w:rsid w:val="009B3574"/>
    <w:rsid w:val="009B52BA"/>
    <w:rsid w:val="009B5DBC"/>
    <w:rsid w:val="009B6E72"/>
    <w:rsid w:val="009B7FB3"/>
    <w:rsid w:val="009C3C8B"/>
    <w:rsid w:val="009C69BB"/>
    <w:rsid w:val="009D6C09"/>
    <w:rsid w:val="009E2697"/>
    <w:rsid w:val="009F0ABA"/>
    <w:rsid w:val="009F3289"/>
    <w:rsid w:val="009F32C8"/>
    <w:rsid w:val="009F4BB8"/>
    <w:rsid w:val="009F50C2"/>
    <w:rsid w:val="009F59F0"/>
    <w:rsid w:val="009F77C2"/>
    <w:rsid w:val="009F77E6"/>
    <w:rsid w:val="00A0251D"/>
    <w:rsid w:val="00A1227B"/>
    <w:rsid w:val="00A14263"/>
    <w:rsid w:val="00A20CC5"/>
    <w:rsid w:val="00A22ED3"/>
    <w:rsid w:val="00A26681"/>
    <w:rsid w:val="00A34B69"/>
    <w:rsid w:val="00A367CA"/>
    <w:rsid w:val="00A37764"/>
    <w:rsid w:val="00A4109F"/>
    <w:rsid w:val="00A4389D"/>
    <w:rsid w:val="00A52A18"/>
    <w:rsid w:val="00A67374"/>
    <w:rsid w:val="00A7195B"/>
    <w:rsid w:val="00A7245A"/>
    <w:rsid w:val="00A757F9"/>
    <w:rsid w:val="00A85217"/>
    <w:rsid w:val="00A86B2A"/>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5659"/>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471F3"/>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36DD"/>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F41F8B-E0DA-49B1-9733-BC6B6042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59D2F-0EDD-4C27-BA83-2F670916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14</Pages>
  <Words>848</Words>
  <Characters>4838</Characters>
  <Application>Microsoft Office Word</Application>
  <DocSecurity>0</DocSecurity>
  <Lines>40</Lines>
  <Paragraphs>11</Paragraphs>
  <ScaleCrop>false</ScaleCrop>
  <Company>Microsoft</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128</cp:revision>
  <cp:lastPrinted>2018-08-22T03:24:00Z</cp:lastPrinted>
  <dcterms:created xsi:type="dcterms:W3CDTF">2018-08-22T03:26:00Z</dcterms:created>
  <dcterms:modified xsi:type="dcterms:W3CDTF">2024-01-15T09:05:00Z</dcterms:modified>
</cp:coreProperties>
</file>