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高频电刀（Leep刀)</w:t>
      </w:r>
      <w:r>
        <w:rPr>
          <w:rFonts w:hint="eastAsia"/>
          <w:color w:val="000000"/>
          <w:sz w:val="28"/>
          <w:szCs w:val="28"/>
        </w:rPr>
        <w:t>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A2001</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val="en-US" w:eastAsia="zh-CN"/>
        </w:rPr>
        <w:t>高频电刀</w:t>
      </w:r>
      <w:r>
        <w:rPr>
          <w:rFonts w:hint="eastAsia"/>
          <w:sz w:val="28"/>
          <w:szCs w:val="28"/>
          <w:lang w:val="en-US" w:eastAsia="zh-CN"/>
        </w:rPr>
        <w:t>（Leep刀)</w:t>
      </w:r>
      <w:r>
        <w:rPr>
          <w:rFonts w:hint="eastAsia"/>
          <w:color w:val="000000"/>
          <w:sz w:val="28"/>
          <w:szCs w:val="28"/>
        </w:rPr>
        <w:t>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color w:val="FF0000"/>
          <w:sz w:val="28"/>
          <w:szCs w:val="28"/>
        </w:rPr>
        <w:t xml:space="preserve"> </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w:t>
      </w:r>
      <w:r>
        <w:rPr>
          <w:rFonts w:hint="eastAsia"/>
          <w:sz w:val="28"/>
          <w:szCs w:val="28"/>
        </w:rPr>
        <w:t>83 号</w:t>
      </w:r>
    </w:p>
    <w:p>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联 系 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sz w:val="28"/>
          <w:szCs w:val="28"/>
        </w:rPr>
        <w:t>联系电话：0717-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A2001</w:t>
      </w:r>
    </w:p>
    <w:p>
      <w:pPr>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rPr>
        <w:t>、项目名称：宜昌市中心人民医院</w:t>
      </w:r>
      <w:r>
        <w:rPr>
          <w:rFonts w:hint="eastAsia" w:ascii="宋体" w:hAnsi="宋体" w:cs="宋体"/>
          <w:sz w:val="28"/>
          <w:szCs w:val="28"/>
          <w:lang w:val="en-US" w:eastAsia="zh-CN"/>
        </w:rPr>
        <w:t>高频电刀（Leep刀)</w:t>
      </w:r>
      <w:r>
        <w:rPr>
          <w:rFonts w:hint="eastAsia" w:ascii="宋体" w:hAnsi="宋体" w:cs="宋体"/>
          <w:sz w:val="28"/>
          <w:szCs w:val="28"/>
        </w:rPr>
        <w:t>项目</w:t>
      </w:r>
      <w:r>
        <w:rPr>
          <w:rFonts w:hint="eastAsia" w:ascii="宋体" w:hAnsi="宋体" w:cs="宋体"/>
          <w:sz w:val="28"/>
          <w:szCs w:val="28"/>
          <w:lang w:eastAsia="zh-CN"/>
        </w:rPr>
        <w:t>（</w:t>
      </w:r>
      <w:r>
        <w:rPr>
          <w:rFonts w:hint="eastAsia" w:ascii="宋体" w:hAnsi="宋体" w:cs="宋体"/>
          <w:sz w:val="28"/>
          <w:szCs w:val="28"/>
          <w:lang w:val="en-US" w:eastAsia="zh-CN"/>
        </w:rPr>
        <w:t>第二次</w:t>
      </w:r>
      <w:r>
        <w:rPr>
          <w:rFonts w:hint="eastAsia" w:ascii="宋体" w:hAnsi="宋体" w:cs="宋体"/>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150000.00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default" w:ascii="宋体" w:hAnsi="宋体" w:cs="宋体"/>
          <w:kern w:val="0"/>
          <w:sz w:val="28"/>
          <w:szCs w:val="28"/>
          <w:lang w:val="en-US" w:eastAsia="zh-CN"/>
        </w:rPr>
      </w:pPr>
      <w:bookmarkStart w:id="8" w:name="_GoBack"/>
      <w:r>
        <w:rPr>
          <w:rFonts w:hint="eastAsia" w:ascii="宋体" w:hAnsi="宋体" w:cs="宋体"/>
          <w:kern w:val="0"/>
          <w:sz w:val="28"/>
          <w:szCs w:val="28"/>
          <w:lang w:val="en-US" w:eastAsia="zh-CN"/>
        </w:rPr>
        <w:t>宜昌市中心人民医院（西陵院区）采购设备高频电刀（Leep刀）一台</w:t>
      </w:r>
    </w:p>
    <w:bookmarkEnd w:id="8"/>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高频电刀</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台</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1</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货物名称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技术规格参数</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28"/>
                <w:szCs w:val="28"/>
                <w:lang w:val="en-US" w:eastAsia="zh-CN"/>
              </w:rPr>
            </w:pPr>
            <w:r>
              <w:rPr>
                <w:rFonts w:hint="eastAsia" w:hAnsi="宋体"/>
                <w:color w:val="FF0000"/>
                <w:spacing w:val="2"/>
                <w:sz w:val="28"/>
                <w:szCs w:val="28"/>
                <w:lang w:val="en-US" w:eastAsia="zh-CN"/>
              </w:rPr>
              <w:t>高频电刀</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★1、具备至少九种输出模式：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模式1：即纯切，其效果是切割精细，组织表面鲜活无结痂；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模式2：其效果是切割中带有轻微的凝血效果；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模式3：其效果是切割的同时提供强大的凝血效果；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模式4：其效果是切割的同时提供很好的凝血效果，适合在内镜下使用；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模式5：可称做柔和电凝，也可称为点凝，对组织凝固层相对较深，作用范围相对较小：可以配合内窥镜使用；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模式6：可称做强力电凝，也可称为面凝，相对凝血较快，作用面积较大；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模式7：可称做喷射电凝，可以提供有效的非接触式凝血，可以配合氩气系统使用；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模式8：可称做快速双极电凝，在启动瞬间迅速达到凝血的效果，可在手术中降低误操作率；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模式9：可称做精细双极电凝，在启动瞬间迅速达到凝血的效果，在组织凝固时自动切断功率输出，达到出色的凝血效果，能够有效的防止组织的粘连；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2、功能要求：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2.1、具有记忆功能，再次开机时出现上次使用功率设定值；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★2.2、中性电极实时监测接触质量系统，全程实时监测极板的工作状态、贴合面积及组织阻抗并以数字形式显示与操作面板上，最大程度的减少因中性电极接触面积减少而造成的灼伤风险；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2.3、单、双极极板均可以使用；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2.4、高清晰大数码显示屏；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2.5、主机具有自动监测并错误提示功能（如：极板线连接不良或未夹极板，机器自动检测并声光报警等）；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2.6、具有功率输出自动补偿功能，针对不同人体组织自动调节输出功率达到最佳切割和凝血效果；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2.7、安全标准：CF型，带除颤保护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★2.8、误操作报警功能，设备在运行中出现故障能能立刻停止功率输出并显示相应错误代码，及时提醒使用者（脚踏误操作报警、电压电流超差报警等）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3、操作要求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3.1、功率设置高亮LED数字显示，防水按键方式调节，易于清洁消毒；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3.2、适宜LEEP手术；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3.3、具有手控或脚控功率输出功能；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3.4、可掉电保存当前电切、电凝功率设置；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3.5、具有自动电压调节功能；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4、配套设施：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4.1、标配配绝缘专用手术台车；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★4.2、具备LEEP手术吸烟器；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4.3、提供多种类型的手术电极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5、手术烟雾净化吸烟器技术指标及主要性能参数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5.1、噪声水平：最大40dB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5.2、最大流量：0-200L/min(吸力大小可调)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★5.3、吸除效率：≥99％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5.4、吸除流量：200L/min，流量输出0～99级连续可调、延迟时间0～99秒可调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5.5、具备四级过滤方式，过滤效果可有效滤除99.99%的颗粒物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5.6、吸烟器操作方式具有与LEEP刀电磁感应式自启动功能，无需脚踏控制</w:t>
            </w:r>
          </w:p>
          <w:p>
            <w:r>
              <w:rPr>
                <w:rFonts w:hint="eastAsia" w:ascii="仿宋" w:hAnsi="仿宋" w:eastAsia="仿宋" w:cs="仿宋"/>
                <w:kern w:val="2"/>
                <w:sz w:val="21"/>
                <w:szCs w:val="21"/>
                <w:lang w:val="en-US" w:eastAsia="zh-CN" w:bidi="ar-SA"/>
              </w:rPr>
              <w:t>5.7、提供可消毒专用带烟道绝缘窥器</w:t>
            </w:r>
          </w:p>
          <w:p>
            <w:pPr>
              <w:keepNext w:val="0"/>
              <w:keepLines w:val="0"/>
              <w:pageBreakBefore w:val="0"/>
              <w:kinsoku/>
              <w:wordWrap/>
              <w:overflowPunct/>
              <w:topLinePunct w:val="0"/>
              <w:autoSpaceDE/>
              <w:autoSpaceDN/>
              <w:bidi w:val="0"/>
              <w:adjustRightInd/>
              <w:snapToGrid/>
              <w:spacing w:line="120" w:lineRule="auto"/>
              <w:rPr>
                <w:rFonts w:hint="default" w:hAnsi="宋体" w:eastAsia="宋体"/>
                <w:color w:val="FF0000"/>
                <w:spacing w:val="2"/>
                <w:sz w:val="28"/>
                <w:szCs w:val="28"/>
                <w:lang w:val="en-US" w:eastAsia="zh-CN"/>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9"/>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宜昌市中心人民医院指定地点。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ind w:firstLine="560" w:firstLineChars="200"/>
        <w:jc w:val="left"/>
        <w:rPr>
          <w:rFonts w:ascii="宋体" w:hAnsi="宋体" w:cs="宋体"/>
          <w:color w:val="FF0000"/>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165"/>
      <w:bookmarkStart w:id="3" w:name="_Toc456291260"/>
      <w:bookmarkStart w:id="4" w:name="_Toc462487372"/>
      <w:bookmarkStart w:id="5" w:name="_Toc456291354"/>
      <w:bookmarkStart w:id="6" w:name="_Toc456291280"/>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F856077"/>
    <w:rsid w:val="1E2B24DA"/>
    <w:rsid w:val="3B3B7C36"/>
    <w:rsid w:val="3D6E5D78"/>
    <w:rsid w:val="437F5BA7"/>
    <w:rsid w:val="4FE77935"/>
    <w:rsid w:val="52126D90"/>
    <w:rsid w:val="57707C9F"/>
    <w:rsid w:val="62C516F8"/>
    <w:rsid w:val="743406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652</Words>
  <Characters>3719</Characters>
  <Lines>30</Lines>
  <Paragraphs>8</Paragraphs>
  <TotalTime>1</TotalTime>
  <ScaleCrop>false</ScaleCrop>
  <LinksUpToDate>false</LinksUpToDate>
  <CharactersWithSpaces>4363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2024-01-17T07:29:03Z</dcterms:modified>
  <dc:title>宜昌市中心人民医院</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78D1052E4DE143B194C366F03BB9A8FA_13</vt:lpwstr>
  </property>
</Properties>
</file>