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宜昌市中心人民医院对伍家院区8号楼电梯派梯系统及楼层显示更改调试</w:t>
      </w:r>
      <w:r>
        <w:rPr>
          <w:rFonts w:hint="eastAsia"/>
          <w:color w:val="000000"/>
          <w:sz w:val="28"/>
          <w:szCs w:val="28"/>
        </w:rPr>
        <w:t>项目</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2024-A2010</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伍家院区8号楼电梯派梯系统及楼层显示更改调试</w:t>
      </w:r>
      <w:r>
        <w:rPr>
          <w:rFonts w:hint="eastAsia"/>
          <w:color w:val="000000"/>
          <w:sz w:val="28"/>
          <w:szCs w:val="28"/>
        </w:rPr>
        <w:t>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25</w:t>
      </w:r>
      <w:r>
        <w:rPr>
          <w:rFonts w:hint="eastAsia"/>
          <w:color w:val="FF0000"/>
          <w:sz w:val="28"/>
          <w:szCs w:val="28"/>
        </w:rPr>
        <w:t>日</w:t>
      </w:r>
      <w:r>
        <w:rPr>
          <w:color w:val="FF0000"/>
          <w:sz w:val="28"/>
          <w:szCs w:val="28"/>
        </w:rPr>
        <w:t>09:30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w:t>
      </w:r>
      <w:r>
        <w:rPr>
          <w:rFonts w:hint="eastAsia"/>
          <w:sz w:val="28"/>
          <w:szCs w:val="28"/>
          <w:u w:val="single"/>
          <w:lang w:val="en-US" w:eastAsia="zh-CN"/>
        </w:rPr>
        <w:t>2</w:t>
      </w:r>
      <w:r>
        <w:rPr>
          <w:rFonts w:hint="eastAsia"/>
          <w:sz w:val="28"/>
          <w:szCs w:val="28"/>
          <w:u w:val="single"/>
        </w:rPr>
        <w:t>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lang w:val="en-US" w:eastAsia="zh-CN"/>
        </w:rPr>
        <w:t>闫</w:t>
      </w:r>
      <w:r>
        <w:rPr>
          <w:rFonts w:hint="eastAsia"/>
          <w:sz w:val="28"/>
          <w:szCs w:val="28"/>
        </w:rPr>
        <w:t>老师</w:t>
      </w:r>
    </w:p>
    <w:p>
      <w:pPr>
        <w:ind w:firstLine="560" w:firstLineChars="200"/>
        <w:jc w:val="left"/>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ascii="宋体" w:hAnsi="宋体" w:cs="宋体"/>
          <w:kern w:val="0"/>
          <w:sz w:val="28"/>
          <w:szCs w:val="28"/>
        </w:rPr>
        <w:t xml:space="preserve"> 1</w:t>
      </w:r>
      <w:r>
        <w:rPr>
          <w:rFonts w:hint="eastAsia" w:ascii="宋体" w:hAnsi="宋体" w:cs="宋体"/>
          <w:kern w:val="0"/>
          <w:sz w:val="28"/>
          <w:szCs w:val="28"/>
        </w:rPr>
        <w:t>3997695077</w:t>
      </w:r>
      <w:r>
        <w:rPr>
          <w:rFonts w:ascii="宋体" w:hAnsi="宋体" w:cs="宋体"/>
          <w:kern w:val="0"/>
          <w:sz w:val="28"/>
          <w:szCs w:val="28"/>
        </w:rPr>
        <w:t>/0717-64</w:t>
      </w:r>
      <w:r>
        <w:rPr>
          <w:rFonts w:ascii="宋体" w:hAnsi="宋体"/>
          <w:sz w:val="28"/>
          <w:szCs w:val="28"/>
        </w:rPr>
        <w:t xml:space="preserve">86583 </w:t>
      </w:r>
      <w:r>
        <w:rPr>
          <w:rFonts w:hint="eastAsia" w:ascii="宋体" w:hAnsi="宋体"/>
          <w:sz w:val="28"/>
          <w:szCs w:val="28"/>
          <w:lang w:val="en-US" w:eastAsia="zh-CN"/>
        </w:rPr>
        <w:t>15897539255</w:t>
      </w:r>
    </w:p>
    <w:p>
      <w:pPr>
        <w:ind w:firstLine="88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2024-A2010</w:t>
      </w:r>
      <w:bookmarkStart w:id="8" w:name="_GoBack"/>
      <w:bookmarkEnd w:id="8"/>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伍家院区8号楼电梯派梯系统及楼层显示更改调试</w:t>
      </w:r>
      <w:r>
        <w:rPr>
          <w:rFonts w:hint="eastAsia"/>
          <w:color w:val="000000"/>
          <w:sz w:val="28"/>
          <w:szCs w:val="28"/>
        </w:rPr>
        <w:t>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、项目预算：19.5万元，超过此价格为无效投标。</w:t>
      </w:r>
      <w:r>
        <w:rPr>
          <w:rFonts w:hint="eastAsia" w:ascii="宋体" w:hAnsi="宋体" w:cs="宋体"/>
          <w:b/>
          <w:kern w:val="0"/>
          <w:sz w:val="28"/>
          <w:szCs w:val="28"/>
        </w:rPr>
        <w:t>投标人进行一次报价，资格性和符合性审查合格后，以最低价确定服务商及价格。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5、采购项目的特殊条件要求：</w:t>
      </w:r>
      <w:r>
        <w:rPr>
          <w:rFonts w:ascii="宋体" w:hAnsi="宋体"/>
          <w:sz w:val="28"/>
          <w:szCs w:val="28"/>
          <w:lang w:val="zh-CN"/>
        </w:rPr>
        <w:t>投标供应商具有《中华人民共和国特种设备安装改造维修许可证》（电梯） C 级及以上资质（老证在有效期内）。</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sz w:val="28"/>
          <w:szCs w:val="28"/>
          <w:lang w:val="zh-CN"/>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cs="宋体"/>
          <w:bCs/>
          <w:kern w:val="0"/>
          <w:sz w:val="28"/>
          <w:szCs w:val="28"/>
        </w:rPr>
      </w:pPr>
      <w:r>
        <w:rPr>
          <w:rFonts w:ascii="宋体" w:hAnsi="宋体"/>
          <w:sz w:val="28"/>
          <w:szCs w:val="28"/>
          <w:lang w:val="zh-CN"/>
        </w:rPr>
        <w:t>宜昌市中心人民医院拟将伍家院区8号楼负5至22层调整为负3至24层。楼层调整后8号楼现负2楼变更为1楼与外科楼1楼平层，现1楼变更为3楼与东山大道平层，现需对电梯物理按键进行更换，对电梯系统</w:t>
      </w:r>
      <w:r>
        <w:rPr>
          <w:rFonts w:hint="eastAsia" w:ascii="宋体" w:hAnsi="宋体"/>
          <w:sz w:val="28"/>
          <w:szCs w:val="28"/>
          <w:lang w:val="zh-CN"/>
        </w:rPr>
        <w:t>、</w:t>
      </w:r>
      <w:r>
        <w:rPr>
          <w:rFonts w:ascii="宋体" w:hAnsi="宋体"/>
          <w:sz w:val="28"/>
          <w:szCs w:val="28"/>
          <w:lang w:val="zh-CN"/>
        </w:rPr>
        <w:t>电梯派梯控制系统进行逐条调整</w:t>
      </w:r>
      <w:r>
        <w:rPr>
          <w:rFonts w:hint="eastAsia" w:ascii="宋体" w:hAnsi="宋体"/>
          <w:sz w:val="28"/>
          <w:szCs w:val="28"/>
          <w:lang w:val="zh-CN"/>
        </w:rPr>
        <w:t>，</w:t>
      </w:r>
      <w:r>
        <w:rPr>
          <w:rFonts w:ascii="宋体" w:hAnsi="宋体"/>
          <w:sz w:val="28"/>
          <w:szCs w:val="28"/>
          <w:lang w:val="zh-CN"/>
        </w:rPr>
        <w:t>确保显示与物理按键一致。</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货物、服务需求一览表</w:t>
      </w:r>
    </w:p>
    <w:tbl>
      <w:tblPr>
        <w:tblStyle w:val="10"/>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749"/>
        <w:gridCol w:w="1298"/>
        <w:gridCol w:w="932"/>
        <w:gridCol w:w="955"/>
        <w:gridCol w:w="884"/>
        <w:gridCol w:w="937"/>
        <w:gridCol w:w="898"/>
        <w:gridCol w:w="903"/>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vMerge w:val="restart"/>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项目</w:t>
            </w:r>
          </w:p>
        </w:tc>
        <w:tc>
          <w:tcPr>
            <w:tcW w:w="749" w:type="dxa"/>
            <w:vMerge w:val="restart"/>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序号</w:t>
            </w:r>
          </w:p>
        </w:tc>
        <w:tc>
          <w:tcPr>
            <w:tcW w:w="1298" w:type="dxa"/>
            <w:vMerge w:val="restart"/>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电梯编号</w:t>
            </w:r>
          </w:p>
        </w:tc>
        <w:tc>
          <w:tcPr>
            <w:tcW w:w="932" w:type="dxa"/>
            <w:vMerge w:val="restart"/>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层站</w:t>
            </w:r>
          </w:p>
        </w:tc>
        <w:tc>
          <w:tcPr>
            <w:tcW w:w="2776" w:type="dxa"/>
            <w:gridSpan w:val="3"/>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配件费</w:t>
            </w:r>
          </w:p>
        </w:tc>
        <w:tc>
          <w:tcPr>
            <w:tcW w:w="2739" w:type="dxa"/>
            <w:gridSpan w:val="3"/>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Merge w:val="continue"/>
            <w:vAlign w:val="center"/>
          </w:tcPr>
          <w:p>
            <w:pPr>
              <w:spacing w:line="220" w:lineRule="atLeast"/>
              <w:jc w:val="center"/>
              <w:rPr>
                <w:rFonts w:asciiTheme="minorEastAsia" w:hAnsiTheme="minorEastAsia" w:eastAsiaTheme="minorEastAsia"/>
              </w:rPr>
            </w:pPr>
          </w:p>
        </w:tc>
        <w:tc>
          <w:tcPr>
            <w:tcW w:w="1298" w:type="dxa"/>
            <w:vMerge w:val="continue"/>
            <w:vAlign w:val="center"/>
          </w:tcPr>
          <w:p>
            <w:pPr>
              <w:spacing w:line="220" w:lineRule="atLeast"/>
              <w:jc w:val="center"/>
              <w:rPr>
                <w:rFonts w:asciiTheme="minorEastAsia" w:hAnsiTheme="minorEastAsia" w:eastAsiaTheme="minorEastAsia"/>
              </w:rPr>
            </w:pPr>
          </w:p>
        </w:tc>
        <w:tc>
          <w:tcPr>
            <w:tcW w:w="932" w:type="dxa"/>
            <w:vMerge w:val="continue"/>
            <w:vAlign w:val="center"/>
          </w:tcPr>
          <w:p>
            <w:pPr>
              <w:spacing w:line="220" w:lineRule="atLeast"/>
              <w:jc w:val="center"/>
              <w:rPr>
                <w:rFonts w:asciiTheme="minorEastAsia" w:hAnsiTheme="minorEastAsia" w:eastAsiaTheme="minorEastAsia"/>
              </w:rPr>
            </w:pPr>
          </w:p>
        </w:tc>
        <w:tc>
          <w:tcPr>
            <w:tcW w:w="955"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数量</w:t>
            </w:r>
          </w:p>
        </w:tc>
        <w:tc>
          <w:tcPr>
            <w:tcW w:w="884"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投标单价</w:t>
            </w:r>
          </w:p>
        </w:tc>
        <w:tc>
          <w:tcPr>
            <w:tcW w:w="937"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投标小计</w:t>
            </w: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工时</w:t>
            </w:r>
          </w:p>
        </w:tc>
        <w:tc>
          <w:tcPr>
            <w:tcW w:w="903"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投标单价</w:t>
            </w:r>
          </w:p>
        </w:tc>
        <w:tc>
          <w:tcPr>
            <w:tcW w:w="93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投标小计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restart"/>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病床电梯变更楼层显示</w:t>
            </w: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1</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DT4</w:t>
            </w:r>
            <w:r>
              <w:rPr>
                <w:rFonts w:hint="eastAsia" w:asciiTheme="minorEastAsia" w:hAnsiTheme="minorEastAsia" w:eastAsiaTheme="minorEastAsia"/>
              </w:rPr>
              <w:t>-</w:t>
            </w:r>
            <w:r>
              <w:rPr>
                <w:rFonts w:asciiTheme="minorEastAsia" w:hAnsiTheme="minorEastAsia" w:eastAsiaTheme="minorEastAsia"/>
              </w:rPr>
              <w:t>7</w:t>
            </w:r>
            <w:r>
              <w:rPr>
                <w:rFonts w:hint="eastAsia" w:asciiTheme="minorEastAsia" w:hAnsiTheme="minorEastAsia" w:eastAsiaTheme="minorEastAsia"/>
              </w:rPr>
              <w:t>、</w:t>
            </w:r>
            <w:r>
              <w:rPr>
                <w:rFonts w:asciiTheme="minorEastAsia" w:hAnsiTheme="minorEastAsia" w:eastAsiaTheme="minorEastAsia"/>
              </w:rPr>
              <w:t>DT16-19</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4</w:t>
            </w:r>
            <w:r>
              <w:rPr>
                <w:rFonts w:asciiTheme="minorEastAsia" w:hAnsiTheme="minorEastAsia" w:eastAsiaTheme="minorEastAsia"/>
              </w:rPr>
              <w:t>/2</w:t>
            </w:r>
            <w:r>
              <w:rPr>
                <w:rFonts w:hint="eastAsia" w:asciiTheme="minorEastAsia" w:hAnsiTheme="minorEastAsia" w:eastAsiaTheme="minorEastAsia"/>
              </w:rPr>
              <w:t>4</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16只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40</w:t>
            </w:r>
          </w:p>
        </w:tc>
        <w:tc>
          <w:tcPr>
            <w:tcW w:w="903" w:type="dxa"/>
            <w:vAlign w:val="center"/>
          </w:tcPr>
          <w:p>
            <w:pPr>
              <w:spacing w:line="220" w:lineRule="atLeast"/>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2</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DT8-11</w:t>
            </w:r>
            <w:r>
              <w:rPr>
                <w:rFonts w:hint="eastAsia" w:asciiTheme="minorEastAsia" w:hAnsiTheme="minorEastAsia" w:eastAsiaTheme="minorEastAsia"/>
              </w:rPr>
              <w:t>、</w:t>
            </w:r>
            <w:r>
              <w:rPr>
                <w:rFonts w:asciiTheme="minorEastAsia" w:hAnsiTheme="minorEastAsia" w:eastAsiaTheme="minorEastAsia"/>
              </w:rPr>
              <w:t>DT12-15</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27/27</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16只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48</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3</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DT1</w:t>
            </w: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w:t>
            </w:r>
            <w:r>
              <w:rPr>
                <w:rFonts w:asciiTheme="minorEastAsia" w:hAnsiTheme="minorEastAsia" w:eastAsiaTheme="minorEastAsia"/>
              </w:rPr>
              <w:t>DT26-29</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27/27</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12只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27</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4</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DT21</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14/14</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2只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4</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5</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DT23-25</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14/12</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6只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12</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6</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DT20</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11/11</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2只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4</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7</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DT2</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8/8</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2只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3</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8</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DT3</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6/6</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2只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3</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9</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DT37</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3/3</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2只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2</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10</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DT34</w:t>
            </w:r>
            <w:r>
              <w:rPr>
                <w:rFonts w:hint="eastAsia" w:asciiTheme="minorEastAsia" w:hAnsiTheme="minorEastAsia" w:eastAsiaTheme="minorEastAsia"/>
              </w:rPr>
              <w:t>、</w:t>
            </w:r>
            <w:r>
              <w:rPr>
                <w:rFonts w:asciiTheme="minorEastAsia" w:hAnsiTheme="minorEastAsia" w:eastAsiaTheme="minorEastAsia"/>
              </w:rPr>
              <w:t>38</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2/2</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4只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2</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restart"/>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杂物电梯变更楼层显示</w:t>
            </w: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11</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DT30-31</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3/3</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18只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4</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12</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DT3</w:t>
            </w:r>
            <w:r>
              <w:rPr>
                <w:rFonts w:hint="eastAsia" w:asciiTheme="minorEastAsia" w:hAnsiTheme="minorEastAsia" w:eastAsiaTheme="minorEastAsia"/>
              </w:rPr>
              <w:t>5</w:t>
            </w:r>
            <w:r>
              <w:rPr>
                <w:rFonts w:asciiTheme="minorEastAsia" w:hAnsiTheme="minorEastAsia" w:eastAsiaTheme="minorEastAsia"/>
              </w:rPr>
              <w:t>-3</w:t>
            </w:r>
            <w:r>
              <w:rPr>
                <w:rFonts w:hint="eastAsia" w:asciiTheme="minorEastAsia" w:hAnsiTheme="minorEastAsia" w:eastAsiaTheme="minorEastAsia"/>
              </w:rPr>
              <w:t>6</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2/2</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8只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4</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13</w:t>
            </w:r>
          </w:p>
        </w:tc>
        <w:tc>
          <w:tcPr>
            <w:tcW w:w="1298"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DT3</w:t>
            </w:r>
            <w:r>
              <w:rPr>
                <w:rFonts w:hint="eastAsia" w:asciiTheme="minorEastAsia" w:hAnsiTheme="minorEastAsia" w:eastAsiaTheme="minorEastAsia"/>
              </w:rPr>
              <w:t>2</w:t>
            </w:r>
            <w:r>
              <w:rPr>
                <w:rFonts w:asciiTheme="minorEastAsia" w:hAnsiTheme="minorEastAsia" w:eastAsiaTheme="minorEastAsia"/>
              </w:rPr>
              <w:t>-3</w:t>
            </w:r>
            <w:r>
              <w:rPr>
                <w:rFonts w:hint="eastAsia" w:asciiTheme="minorEastAsia" w:hAnsiTheme="minorEastAsia" w:eastAsiaTheme="minorEastAsia"/>
              </w:rPr>
              <w:t>3</w:t>
            </w:r>
          </w:p>
        </w:tc>
        <w:tc>
          <w:tcPr>
            <w:tcW w:w="932" w:type="dxa"/>
            <w:vAlign w:val="center"/>
          </w:tcPr>
          <w:p>
            <w:pPr>
              <w:spacing w:line="220" w:lineRule="atLeast"/>
              <w:jc w:val="center"/>
              <w:rPr>
                <w:rFonts w:asciiTheme="minorEastAsia" w:hAnsiTheme="minorEastAsia" w:eastAsiaTheme="minorEastAsia"/>
              </w:rPr>
            </w:pPr>
            <w:r>
              <w:rPr>
                <w:rFonts w:asciiTheme="minorEastAsia" w:hAnsiTheme="minorEastAsia" w:eastAsiaTheme="minorEastAsia"/>
              </w:rPr>
              <w:t>14/14</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56只</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8</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cs="宋体"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restart"/>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程序调试费用</w:t>
            </w: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14</w:t>
            </w:r>
          </w:p>
        </w:tc>
        <w:tc>
          <w:tcPr>
            <w:tcW w:w="12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病床电梯</w:t>
            </w:r>
          </w:p>
        </w:tc>
        <w:tc>
          <w:tcPr>
            <w:tcW w:w="932"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32台</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right"/>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16</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Merge w:val="continue"/>
          </w:tcPr>
          <w:p>
            <w:pPr>
              <w:spacing w:line="220" w:lineRule="atLeast"/>
              <w:jc w:val="center"/>
              <w:rPr>
                <w:rFonts w:asciiTheme="minorEastAsia" w:hAnsiTheme="minorEastAsia" w:eastAsiaTheme="minorEastAsia"/>
              </w:rPr>
            </w:pPr>
          </w:p>
        </w:tc>
        <w:tc>
          <w:tcPr>
            <w:tcW w:w="749"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15</w:t>
            </w:r>
          </w:p>
        </w:tc>
        <w:tc>
          <w:tcPr>
            <w:tcW w:w="12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杂物电梯</w:t>
            </w:r>
          </w:p>
        </w:tc>
        <w:tc>
          <w:tcPr>
            <w:tcW w:w="932"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w:t>
            </w:r>
          </w:p>
        </w:tc>
        <w:tc>
          <w:tcPr>
            <w:tcW w:w="955" w:type="dxa"/>
            <w:vAlign w:val="center"/>
          </w:tcPr>
          <w:p>
            <w:pPr>
              <w:spacing w:line="220" w:lineRule="atLeast"/>
              <w:jc w:val="right"/>
              <w:rPr>
                <w:rFonts w:asciiTheme="minorEastAsia" w:hAnsiTheme="minorEastAsia" w:eastAsiaTheme="minorEastAsia"/>
              </w:rPr>
            </w:pPr>
            <w:r>
              <w:rPr>
                <w:rFonts w:hint="eastAsia" w:asciiTheme="minorEastAsia" w:hAnsiTheme="minorEastAsia" w:eastAsiaTheme="minorEastAsia"/>
              </w:rPr>
              <w:t>6台</w:t>
            </w:r>
          </w:p>
        </w:tc>
        <w:tc>
          <w:tcPr>
            <w:tcW w:w="884" w:type="dxa"/>
            <w:vAlign w:val="center"/>
          </w:tcPr>
          <w:p>
            <w:pPr>
              <w:spacing w:line="220" w:lineRule="atLeast"/>
              <w:jc w:val="center"/>
              <w:rPr>
                <w:rFonts w:asciiTheme="minorEastAsia" w:hAnsiTheme="minorEastAsia" w:eastAsiaTheme="minorEastAsia"/>
              </w:rPr>
            </w:pPr>
          </w:p>
        </w:tc>
        <w:tc>
          <w:tcPr>
            <w:tcW w:w="937" w:type="dxa"/>
            <w:vAlign w:val="center"/>
          </w:tcPr>
          <w:p>
            <w:pPr>
              <w:jc w:val="center"/>
              <w:rPr>
                <w:rFonts w:cs="宋体" w:asciiTheme="minorEastAsia" w:hAnsiTheme="minorEastAsia" w:eastAsiaTheme="minorEastAsia"/>
                <w:color w:val="000000"/>
              </w:rPr>
            </w:pPr>
          </w:p>
        </w:tc>
        <w:tc>
          <w:tcPr>
            <w:tcW w:w="898" w:type="dxa"/>
            <w:vAlign w:val="center"/>
          </w:tcPr>
          <w:p>
            <w:pPr>
              <w:spacing w:line="220" w:lineRule="atLeast"/>
              <w:jc w:val="center"/>
              <w:rPr>
                <w:rFonts w:asciiTheme="minorEastAsia" w:hAnsiTheme="minorEastAsia" w:eastAsiaTheme="minorEastAsia"/>
              </w:rPr>
            </w:pPr>
            <w:r>
              <w:rPr>
                <w:rFonts w:hint="eastAsia" w:asciiTheme="minorEastAsia" w:hAnsiTheme="minorEastAsia" w:eastAsiaTheme="minorEastAsia"/>
              </w:rPr>
              <w:t>3</w:t>
            </w:r>
          </w:p>
        </w:tc>
        <w:tc>
          <w:tcPr>
            <w:tcW w:w="903" w:type="dxa"/>
            <w:vAlign w:val="center"/>
          </w:tcPr>
          <w:p>
            <w:pPr>
              <w:jc w:val="center"/>
              <w:rPr>
                <w:rFonts w:asciiTheme="minorEastAsia" w:hAnsiTheme="minorEastAsia" w:eastAsiaTheme="minorEastAsia"/>
              </w:rPr>
            </w:pPr>
          </w:p>
        </w:tc>
        <w:tc>
          <w:tcPr>
            <w:tcW w:w="938" w:type="dxa"/>
            <w:vAlign w:val="center"/>
          </w:tcPr>
          <w:p>
            <w:pPr>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226" w:type="dxa"/>
            <w:gridSpan w:val="10"/>
            <w:vAlign w:val="center"/>
          </w:tcPr>
          <w:p>
            <w:pPr>
              <w:spacing w:line="220" w:lineRule="atLeast"/>
              <w:rPr>
                <w:rFonts w:asciiTheme="minorEastAsia" w:hAnsiTheme="minorEastAsia" w:eastAsiaTheme="minorEastAsia"/>
              </w:rPr>
            </w:pPr>
            <w:r>
              <w:rPr>
                <w:rFonts w:hint="eastAsia" w:asciiTheme="minorEastAsia" w:hAnsiTheme="minorEastAsia" w:eastAsiaTheme="minorEastAsia"/>
              </w:rPr>
              <w:t>备注：1、综合楼所有垂直电梯层显增加两层，取消-4和-5层。</w:t>
            </w:r>
          </w:p>
          <w:p>
            <w:pPr>
              <w:spacing w:line="220" w:lineRule="atLeast"/>
              <w:ind w:firstLine="564" w:firstLineChars="269"/>
              <w:rPr>
                <w:rFonts w:asciiTheme="minorEastAsia" w:hAnsiTheme="minorEastAsia" w:eastAsiaTheme="minorEastAsia"/>
              </w:rPr>
            </w:pPr>
            <w:r>
              <w:rPr>
                <w:rFonts w:hint="eastAsia" w:asciiTheme="minorEastAsia" w:hAnsiTheme="minorEastAsia" w:eastAsiaTheme="minorEastAsia"/>
              </w:rPr>
              <w:t>2、上述报价已含10%的税金管理费。</w:t>
            </w:r>
          </w:p>
        </w:tc>
      </w:tr>
    </w:tbl>
    <w:p>
      <w:pPr>
        <w:spacing w:line="500" w:lineRule="exact"/>
        <w:rPr>
          <w:b/>
          <w:sz w:val="28"/>
          <w:szCs w:val="28"/>
        </w:rPr>
      </w:pPr>
      <w:r>
        <w:rPr>
          <w:rFonts w:hint="eastAsia" w:cs="宋体" w:asciiTheme="minorEastAsia" w:hAnsiTheme="minorEastAsia" w:eastAsiaTheme="minorEastAsia"/>
          <w:kern w:val="0"/>
          <w:sz w:val="28"/>
          <w:szCs w:val="28"/>
        </w:rPr>
        <w:t>注：投标人必须对每项单价、总价详细报价。</w:t>
      </w:r>
    </w:p>
    <w:p>
      <w:pPr>
        <w:autoSpaceDE w:val="0"/>
        <w:autoSpaceDN w:val="0"/>
        <w:adjustRightInd w:val="0"/>
        <w:spacing w:line="460" w:lineRule="exact"/>
        <w:contextualSpacing/>
        <w:outlineLvl w:val="0"/>
        <w:rPr>
          <w:rFonts w:ascii="宋体" w:hAnsi="宋体"/>
          <w:b/>
          <w:sz w:val="28"/>
          <w:szCs w:val="28"/>
        </w:rPr>
      </w:pPr>
      <w:r>
        <w:rPr>
          <w:rFonts w:hint="eastAsia" w:ascii="宋体" w:hAnsi="宋体"/>
          <w:b/>
          <w:sz w:val="28"/>
          <w:szCs w:val="28"/>
        </w:rPr>
        <w:t>3.</w:t>
      </w:r>
      <w:r>
        <w:rPr>
          <w:rFonts w:ascii="宋体" w:hAnsi="宋体"/>
          <w:b/>
          <w:sz w:val="28"/>
          <w:szCs w:val="28"/>
        </w:rPr>
        <w:t>3</w:t>
      </w:r>
      <w:r>
        <w:rPr>
          <w:rFonts w:hint="eastAsia" w:ascii="宋体" w:hAnsi="宋体"/>
          <w:b/>
          <w:sz w:val="28"/>
          <w:szCs w:val="28"/>
        </w:rPr>
        <w:t>商务要求</w:t>
      </w:r>
    </w:p>
    <w:p>
      <w:pPr>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1、服务期：中标结果确认之日至2024年2月17日（含春节假期</w:t>
      </w:r>
      <w:r>
        <w:rPr>
          <w:rFonts w:hint="eastAsia" w:cs="宋体" w:asciiTheme="minorEastAsia" w:hAnsiTheme="minorEastAsia" w:eastAsiaTheme="minorEastAsia"/>
          <w:color w:val="FF0000"/>
          <w:kern w:val="0"/>
          <w:sz w:val="28"/>
          <w:szCs w:val="28"/>
        </w:rPr>
        <w:t>24小时施工</w:t>
      </w:r>
      <w:r>
        <w:rPr>
          <w:rFonts w:hint="eastAsia" w:cs="宋体" w:asciiTheme="minorEastAsia" w:hAnsiTheme="minorEastAsia" w:eastAsiaTheme="minorEastAsia"/>
          <w:kern w:val="0"/>
          <w:sz w:val="28"/>
          <w:szCs w:val="28"/>
        </w:rPr>
        <w:t>）完成。</w:t>
      </w:r>
    </w:p>
    <w:p>
      <w:pPr>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2、交货地点：宜昌市中心人民医院。</w:t>
      </w:r>
    </w:p>
    <w:p>
      <w:pPr>
        <w:spacing w:line="500" w:lineRule="exact"/>
        <w:ind w:firstLine="560" w:firstLineChars="200"/>
        <w:rPr>
          <w:rFonts w:ascii="宋体" w:hAnsi="宋体" w:cs="宋体"/>
          <w:sz w:val="28"/>
          <w:szCs w:val="28"/>
        </w:rPr>
      </w:pPr>
      <w:r>
        <w:rPr>
          <w:rFonts w:hint="eastAsia" w:cs="宋体" w:asciiTheme="minorEastAsia" w:hAnsiTheme="minorEastAsia" w:eastAsiaTheme="minorEastAsia"/>
          <w:kern w:val="0"/>
          <w:sz w:val="28"/>
          <w:szCs w:val="28"/>
        </w:rPr>
        <w:t>3、服务要求：医院现使用电梯品牌为奥的斯，要求所用配件均为原厂原装配件；所有电梯（含杂物梯）层显向上增加两层（23层、24层），取消负5层和负4层，层站数不变，使更改后外显与轿箱内显示保持一致；投标文件要求提供详细的施工方案及时间表，按照采购人的时间要求保质保量施工；对于8号楼派梯系统楼层变更后，所有后续问题，提供技术支持，配合采购方及时解决；保障电梯年检通过。</w:t>
      </w:r>
    </w:p>
    <w:p>
      <w:pPr>
        <w:spacing w:line="520" w:lineRule="exact"/>
        <w:ind w:firstLine="560" w:firstLineChars="200"/>
        <w:rPr>
          <w:rFonts w:ascii="宋体" w:hAnsi="宋体"/>
          <w:sz w:val="28"/>
          <w:szCs w:val="28"/>
        </w:rPr>
      </w:pPr>
      <w:r>
        <w:rPr>
          <w:rFonts w:hint="eastAsia" w:ascii="宋体" w:hAnsi="宋体" w:cs="宋体"/>
          <w:sz w:val="28"/>
          <w:szCs w:val="28"/>
        </w:rPr>
        <w:t>合同生效后根据甲方要求分批按需供货，免费运输至甲方指定地点进行交货，产品安装完成，使用功能正常由使用科室签收确认；合同期内具体数量以甲方需求为准，甲方需求少于合同总量时乙方不得以任何理由要求甲方按合同数量接纳货物，甲方需求大于合同总量</w:t>
      </w:r>
      <w:r>
        <w:rPr>
          <w:rFonts w:ascii="宋体" w:hAnsi="宋体" w:cs="宋体"/>
          <w:sz w:val="28"/>
          <w:szCs w:val="28"/>
        </w:rPr>
        <w:t>（不超过10%）</w:t>
      </w:r>
      <w:r>
        <w:rPr>
          <w:rFonts w:hint="eastAsia" w:ascii="宋体" w:hAnsi="宋体" w:cs="宋体"/>
          <w:sz w:val="28"/>
          <w:szCs w:val="28"/>
        </w:rPr>
        <w:t>时，多余货物按合同单价执行。</w:t>
      </w:r>
      <w:r>
        <w:rPr>
          <w:rFonts w:ascii="宋体" w:hAnsi="宋体" w:cs="宋体"/>
          <w:sz w:val="28"/>
          <w:szCs w:val="28"/>
        </w:rPr>
        <w:t>若有不可预期的问题产生，须提前通告双方协商。</w:t>
      </w:r>
    </w:p>
    <w:p>
      <w:pPr>
        <w:spacing w:line="540" w:lineRule="exact"/>
        <w:ind w:firstLine="560" w:firstLineChars="200"/>
        <w:rPr>
          <w:rFonts w:asciiTheme="minorEastAsia" w:hAnsiTheme="minorEastAsia"/>
          <w:kern w:val="0"/>
          <w:sz w:val="28"/>
          <w:szCs w:val="28"/>
        </w:rPr>
      </w:pPr>
      <w:r>
        <w:rPr>
          <w:rFonts w:hint="eastAsia" w:ascii="宋体" w:hAnsi="宋体"/>
          <w:kern w:val="0"/>
          <w:sz w:val="28"/>
          <w:szCs w:val="28"/>
        </w:rPr>
        <w:t>4、售后服</w:t>
      </w:r>
      <w:r>
        <w:rPr>
          <w:rFonts w:hint="eastAsia" w:asciiTheme="minorEastAsia" w:hAnsiTheme="minorEastAsia"/>
          <w:kern w:val="0"/>
          <w:sz w:val="28"/>
          <w:szCs w:val="28"/>
        </w:rPr>
        <w:t>务要求：质保期内非人为原因造成损坏须免费维修，发生故障须当天维修到位。</w:t>
      </w:r>
    </w:p>
    <w:p>
      <w:pPr>
        <w:spacing w:line="360" w:lineRule="auto"/>
        <w:ind w:firstLine="560" w:firstLineChars="200"/>
        <w:rPr>
          <w:rFonts w:asciiTheme="minorEastAsia" w:hAnsiTheme="minorEastAsia"/>
          <w:kern w:val="0"/>
          <w:sz w:val="28"/>
          <w:szCs w:val="28"/>
        </w:rPr>
      </w:pPr>
      <w:r>
        <w:rPr>
          <w:rFonts w:hint="eastAsia" w:asciiTheme="minorEastAsia" w:hAnsiTheme="minorEastAsia"/>
          <w:kern w:val="0"/>
          <w:sz w:val="28"/>
          <w:szCs w:val="28"/>
        </w:rPr>
        <w:t>5、投标人中标并签定合同后,如不能履行合同的 ,则被列入宜昌市中心人民医院供应商黑名单,并上报至相关监管部门。</w:t>
      </w:r>
    </w:p>
    <w:p>
      <w:pPr>
        <w:pStyle w:val="29"/>
        <w:spacing w:line="500" w:lineRule="exact"/>
        <w:ind w:right="315" w:rightChars="150" w:firstLine="560" w:firstLineChars="200"/>
        <w:rPr>
          <w:rFonts w:asciiTheme="minorEastAsia" w:hAnsiTheme="minorEastAsia"/>
          <w:sz w:val="28"/>
          <w:szCs w:val="28"/>
        </w:rPr>
      </w:pPr>
      <w:r>
        <w:rPr>
          <w:rFonts w:hint="eastAsia" w:asciiTheme="minorEastAsia" w:hAnsiTheme="minorEastAsia" w:eastAsiaTheme="minorEastAsia"/>
          <w:sz w:val="28"/>
          <w:szCs w:val="28"/>
        </w:rPr>
        <w:t>6、</w:t>
      </w:r>
      <w:r>
        <w:rPr>
          <w:rFonts w:asciiTheme="minorEastAsia" w:hAnsiTheme="minorEastAsia" w:eastAsiaTheme="minorEastAsia"/>
          <w:sz w:val="28"/>
          <w:szCs w:val="28"/>
        </w:rPr>
        <w:t>有关安全生产和防火的约定：</w:t>
      </w:r>
      <w:r>
        <w:rPr>
          <w:rFonts w:asciiTheme="minorEastAsia" w:hAnsiTheme="minorEastAsia"/>
          <w:sz w:val="28"/>
          <w:szCs w:val="28"/>
        </w:rPr>
        <w:t>乙方应严格遵守国家规定的安全生产纪律，遵守甲方的安全管理制度，增强安全意识，做好自身安全保护，确保消防安全及人员安全，因乙方原因导致发生人员伤亡</w:t>
      </w:r>
      <w:r>
        <w:rPr>
          <w:rFonts w:hint="eastAsia" w:asciiTheme="minorEastAsia" w:hAnsiTheme="minorEastAsia"/>
          <w:sz w:val="28"/>
          <w:szCs w:val="28"/>
        </w:rPr>
        <w:t>、财产损失</w:t>
      </w:r>
      <w:r>
        <w:rPr>
          <w:rFonts w:asciiTheme="minorEastAsia" w:hAnsiTheme="minorEastAsia"/>
          <w:sz w:val="28"/>
          <w:szCs w:val="28"/>
        </w:rPr>
        <w:t>等安全或火灾事故，均由乙方承担由此引发的一切经济损失，甲方概不负责。</w:t>
      </w:r>
    </w:p>
    <w:p>
      <w:pPr>
        <w:pStyle w:val="29"/>
        <w:spacing w:line="500" w:lineRule="exact"/>
        <w:ind w:right="315" w:rightChars="150" w:firstLine="560" w:firstLineChars="200"/>
        <w:rPr>
          <w:rFonts w:asciiTheme="minorEastAsia" w:hAnsiTheme="minorEastAsia"/>
          <w:sz w:val="28"/>
          <w:szCs w:val="28"/>
        </w:rPr>
      </w:pPr>
      <w:r>
        <w:rPr>
          <w:rFonts w:hint="eastAsia" w:asciiTheme="minorEastAsia" w:hAnsiTheme="minorEastAsia" w:eastAsiaTheme="minorEastAsia"/>
          <w:sz w:val="28"/>
          <w:szCs w:val="28"/>
        </w:rPr>
        <w:t>8、质保期：</w:t>
      </w:r>
      <w:r>
        <w:rPr>
          <w:rFonts w:hint="eastAsia" w:asciiTheme="minorEastAsia" w:hAnsiTheme="minorEastAsia"/>
          <w:sz w:val="28"/>
          <w:szCs w:val="28"/>
        </w:rPr>
        <w:t>质保期贰年，质保期内非人为原因出现任何问题，均由乙方负责免费更换，不得影响甲方正常使用。在质保期内，所有服务及配件全部免费。</w:t>
      </w:r>
    </w:p>
    <w:p>
      <w:pPr>
        <w:ind w:firstLine="560" w:firstLineChars="200"/>
        <w:jc w:val="left"/>
        <w:rPr>
          <w:rFonts w:ascii="宋体" w:hAnsi="宋体" w:cs="宋体"/>
          <w:color w:val="FF0000"/>
          <w:kern w:val="0"/>
          <w:sz w:val="28"/>
          <w:szCs w:val="28"/>
        </w:rPr>
      </w:pPr>
      <w:r>
        <w:rPr>
          <w:rFonts w:hint="eastAsia" w:asciiTheme="minorEastAsia" w:hAnsiTheme="minorEastAsia" w:eastAsiaTheme="minorEastAsia"/>
          <w:sz w:val="28"/>
          <w:szCs w:val="28"/>
        </w:rPr>
        <w:t>9、付款条件及方式：</w:t>
      </w:r>
      <w:r>
        <w:rPr>
          <w:rFonts w:hint="eastAsia" w:hAnsi="宋体"/>
          <w:sz w:val="28"/>
          <w:szCs w:val="28"/>
        </w:rPr>
        <w:t>安装完毕并验收合格后，采购人在45个工作日内支付合同总金额的95%，余下的合同总金额的5%在贰年满后（从验收合格之日计算）30个工作日内无息付清。</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特殊资质要求</w:t>
            </w:r>
          </w:p>
        </w:tc>
        <w:tc>
          <w:tcPr>
            <w:tcW w:w="4586" w:type="dxa"/>
            <w:tcBorders>
              <w:left w:val="single" w:color="auto" w:sz="4" w:space="0"/>
            </w:tcBorders>
            <w:vAlign w:val="center"/>
          </w:tcPr>
          <w:p>
            <w:pPr>
              <w:spacing w:line="460" w:lineRule="exact"/>
              <w:rPr>
                <w:rFonts w:ascii="宋体" w:hAnsi="宋体"/>
                <w:sz w:val="24"/>
                <w:szCs w:val="24"/>
              </w:rPr>
            </w:pPr>
            <w:r>
              <w:rPr>
                <w:rFonts w:ascii="宋体" w:hAnsi="宋体"/>
                <w:sz w:val="28"/>
                <w:szCs w:val="28"/>
                <w:lang w:val="zh-CN"/>
              </w:rPr>
              <w:t>投标供应商具有《中华人民共和国特种设备安装改造维修许可证》（电梯） C 级及以上资质（老证有效期内。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479"/>
      <w:bookmarkStart w:id="2" w:name="_Toc456291280"/>
      <w:bookmarkStart w:id="3" w:name="_Toc462487372"/>
      <w:bookmarkStart w:id="4" w:name="_Toc456291354"/>
      <w:bookmarkStart w:id="5" w:name="_Toc456291260"/>
      <w:bookmarkStart w:id="6" w:name="_Toc456291165"/>
      <w:bookmarkStart w:id="7" w:name="_Toc456291537"/>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1EC"/>
    <w:rsid w:val="00096834"/>
    <w:rsid w:val="00096F87"/>
    <w:rsid w:val="000A76EB"/>
    <w:rsid w:val="000B3D35"/>
    <w:rsid w:val="000B43F2"/>
    <w:rsid w:val="000C307B"/>
    <w:rsid w:val="000C6D45"/>
    <w:rsid w:val="000D259A"/>
    <w:rsid w:val="000E1758"/>
    <w:rsid w:val="000E3314"/>
    <w:rsid w:val="000F095F"/>
    <w:rsid w:val="000F1370"/>
    <w:rsid w:val="000F77FE"/>
    <w:rsid w:val="00106F9D"/>
    <w:rsid w:val="00110A4C"/>
    <w:rsid w:val="001131E1"/>
    <w:rsid w:val="00114108"/>
    <w:rsid w:val="001153D5"/>
    <w:rsid w:val="00116FC5"/>
    <w:rsid w:val="001249D2"/>
    <w:rsid w:val="00125F97"/>
    <w:rsid w:val="0013281D"/>
    <w:rsid w:val="001539FE"/>
    <w:rsid w:val="001546ED"/>
    <w:rsid w:val="00162024"/>
    <w:rsid w:val="001720DE"/>
    <w:rsid w:val="001836E3"/>
    <w:rsid w:val="00183716"/>
    <w:rsid w:val="001A6270"/>
    <w:rsid w:val="001A695B"/>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C561D"/>
    <w:rsid w:val="003D5E50"/>
    <w:rsid w:val="003E374C"/>
    <w:rsid w:val="003E41C7"/>
    <w:rsid w:val="003E582E"/>
    <w:rsid w:val="003E6722"/>
    <w:rsid w:val="003F0358"/>
    <w:rsid w:val="00401E67"/>
    <w:rsid w:val="00412907"/>
    <w:rsid w:val="00421514"/>
    <w:rsid w:val="00424AFD"/>
    <w:rsid w:val="004300A7"/>
    <w:rsid w:val="004303FC"/>
    <w:rsid w:val="00431633"/>
    <w:rsid w:val="00440AB7"/>
    <w:rsid w:val="00446638"/>
    <w:rsid w:val="00453CDC"/>
    <w:rsid w:val="00461483"/>
    <w:rsid w:val="004709DD"/>
    <w:rsid w:val="00474384"/>
    <w:rsid w:val="00492E11"/>
    <w:rsid w:val="004A4255"/>
    <w:rsid w:val="004B272B"/>
    <w:rsid w:val="004C4E45"/>
    <w:rsid w:val="004D2F37"/>
    <w:rsid w:val="004D43F7"/>
    <w:rsid w:val="004D59EA"/>
    <w:rsid w:val="00503601"/>
    <w:rsid w:val="0051441A"/>
    <w:rsid w:val="00521CC1"/>
    <w:rsid w:val="0052240D"/>
    <w:rsid w:val="005455AF"/>
    <w:rsid w:val="0055245D"/>
    <w:rsid w:val="00554142"/>
    <w:rsid w:val="005603E9"/>
    <w:rsid w:val="00563340"/>
    <w:rsid w:val="00564A6B"/>
    <w:rsid w:val="0056741D"/>
    <w:rsid w:val="00573DED"/>
    <w:rsid w:val="00576785"/>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10EB"/>
    <w:rsid w:val="006F3535"/>
    <w:rsid w:val="007211CD"/>
    <w:rsid w:val="0072252E"/>
    <w:rsid w:val="007238B1"/>
    <w:rsid w:val="007272A2"/>
    <w:rsid w:val="007326E7"/>
    <w:rsid w:val="007333C3"/>
    <w:rsid w:val="007418F7"/>
    <w:rsid w:val="0074596C"/>
    <w:rsid w:val="007532EA"/>
    <w:rsid w:val="00754A1F"/>
    <w:rsid w:val="00756110"/>
    <w:rsid w:val="007645D1"/>
    <w:rsid w:val="00787212"/>
    <w:rsid w:val="0079554E"/>
    <w:rsid w:val="007A5D56"/>
    <w:rsid w:val="007C1106"/>
    <w:rsid w:val="007C148E"/>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D21AC"/>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2D1"/>
    <w:rsid w:val="00A4389D"/>
    <w:rsid w:val="00A62AF1"/>
    <w:rsid w:val="00A67374"/>
    <w:rsid w:val="00A7195B"/>
    <w:rsid w:val="00A7245A"/>
    <w:rsid w:val="00A757F9"/>
    <w:rsid w:val="00A91741"/>
    <w:rsid w:val="00AA7E81"/>
    <w:rsid w:val="00AB2189"/>
    <w:rsid w:val="00AB2203"/>
    <w:rsid w:val="00AB51EA"/>
    <w:rsid w:val="00AB55EF"/>
    <w:rsid w:val="00AC1363"/>
    <w:rsid w:val="00AC2D71"/>
    <w:rsid w:val="00AC3DA6"/>
    <w:rsid w:val="00AC4245"/>
    <w:rsid w:val="00AC6E4C"/>
    <w:rsid w:val="00AC7115"/>
    <w:rsid w:val="00AD2C0A"/>
    <w:rsid w:val="00AD4795"/>
    <w:rsid w:val="00AD7B16"/>
    <w:rsid w:val="00AF044F"/>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E74FF"/>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274EB"/>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4398"/>
    <w:rsid w:val="00F55C33"/>
    <w:rsid w:val="00F60263"/>
    <w:rsid w:val="00F74FCF"/>
    <w:rsid w:val="00F77276"/>
    <w:rsid w:val="00F77DEC"/>
    <w:rsid w:val="00F80E50"/>
    <w:rsid w:val="00F879C4"/>
    <w:rsid w:val="00FA58E6"/>
    <w:rsid w:val="00FB6AA0"/>
    <w:rsid w:val="00FD747B"/>
    <w:rsid w:val="2C6B09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uiPriority w:val="0"/>
    <w:rPr>
      <w:rFonts w:ascii="宋体" w:hAnsi="Courier New" w:cs="Courier New"/>
    </w:rPr>
  </w:style>
  <w:style w:type="paragraph" w:styleId="5">
    <w:name w:val="Balloon Text"/>
    <w:basedOn w:val="1"/>
    <w:link w:val="18"/>
    <w:semiHidden/>
    <w:uiPriority w:val="99"/>
    <w:rPr>
      <w:rFonts w:ascii="Times New Roman" w:hAnsi="Times New Roman" w:cs="Times New Roman"/>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locked/>
    <w:uiPriority w:val="99"/>
    <w:rPr>
      <w:rFonts w:ascii="Cambria" w:hAnsi="Cambria" w:eastAsia="宋体" w:cs="Cambria"/>
      <w:b/>
      <w:bCs/>
      <w:sz w:val="32"/>
      <w:szCs w:val="32"/>
    </w:rPr>
  </w:style>
  <w:style w:type="character" w:customStyle="1" w:styleId="14">
    <w:name w:val="页眉 Char"/>
    <w:link w:val="7"/>
    <w:locked/>
    <w:uiPriority w:val="99"/>
    <w:rPr>
      <w:sz w:val="18"/>
      <w:szCs w:val="18"/>
    </w:rPr>
  </w:style>
  <w:style w:type="character" w:customStyle="1" w:styleId="15">
    <w:name w:val="页脚 Char"/>
    <w:link w:val="6"/>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locked/>
    <w:uiPriority w:val="99"/>
    <w:rPr>
      <w:rFonts w:ascii="Times New Roman" w:hAnsi="Times New Roman" w:eastAsia="宋体" w:cs="Times New Roman"/>
      <w:sz w:val="20"/>
      <w:szCs w:val="20"/>
    </w:rPr>
  </w:style>
  <w:style w:type="character" w:customStyle="1" w:styleId="18">
    <w:name w:val="批注框文本 Char"/>
    <w:link w:val="5"/>
    <w:semiHidden/>
    <w:locked/>
    <w:uiPriority w:val="99"/>
    <w:rPr>
      <w:rFonts w:ascii="Times New Roman" w:hAnsi="Times New Roman" w:eastAsia="宋体" w:cs="Times New Roman"/>
      <w:sz w:val="18"/>
      <w:szCs w:val="18"/>
    </w:rPr>
  </w:style>
  <w:style w:type="paragraph" w:customStyle="1" w:styleId="19">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0">
    <w:name w:val="font81"/>
    <w:uiPriority w:val="99"/>
    <w:rPr>
      <w:rFonts w:ascii="微软雅黑" w:hAnsi="微软雅黑" w:eastAsia="微软雅黑" w:cs="微软雅黑"/>
      <w:color w:val="000000"/>
      <w:sz w:val="20"/>
      <w:szCs w:val="20"/>
      <w:u w:val="none"/>
    </w:rPr>
  </w:style>
  <w:style w:type="character" w:customStyle="1" w:styleId="21">
    <w:name w:val="font71"/>
    <w:uiPriority w:val="99"/>
    <w:rPr>
      <w:rFonts w:ascii="宋体" w:hAnsi="宋体" w:eastAsia="宋体" w:cs="宋体"/>
      <w:color w:val="000000"/>
      <w:sz w:val="20"/>
      <w:szCs w:val="20"/>
      <w:u w:val="none"/>
    </w:rPr>
  </w:style>
  <w:style w:type="character" w:customStyle="1" w:styleId="22">
    <w:name w:val="纯文本 Char"/>
    <w:link w:val="4"/>
    <w:uiPriority w:val="0"/>
    <w:rPr>
      <w:rFonts w:ascii="宋体" w:hAnsi="Courier New" w:cs="Courier New"/>
      <w:kern w:val="2"/>
      <w:sz w:val="21"/>
      <w:szCs w:val="21"/>
    </w:rPr>
  </w:style>
  <w:style w:type="character" w:customStyle="1" w:styleId="23">
    <w:name w:val="标题 1 Char"/>
    <w:link w:val="2"/>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EA7A5-C79E-4F4E-8918-B949E31D3C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856</Words>
  <Characters>4884</Characters>
  <Lines>40</Lines>
  <Paragraphs>11</Paragraphs>
  <TotalTime>0</TotalTime>
  <ScaleCrop>false</ScaleCrop>
  <LinksUpToDate>false</LinksUpToDate>
  <CharactersWithSpaces>5729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2024-01-17T07:16:00Z</dcterms:created>
  <dc:creator>dell</dc:creator>
  <cp:lastModifiedBy>Administrator</cp:lastModifiedBy>
  <cp:lastPrinted>2024-01-18T03:32:00Z</cp:lastPrinted>
  <dcterms:modified xsi:type="dcterms:W3CDTF">2024-01-18T08:00:19Z</dcterms:modified>
  <dc:title>宜昌市中心人民医院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980A2DDC3E4240DB991E2C86A54FDBB5_13</vt:lpwstr>
  </property>
</Properties>
</file>