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w:t>
      </w:r>
      <w:r>
        <w:rPr>
          <w:rFonts w:hint="eastAsia" w:asciiTheme="minorEastAsia" w:hAnsiTheme="minorEastAsia" w:eastAsiaTheme="minorEastAsia"/>
          <w:sz w:val="28"/>
          <w:szCs w:val="28"/>
        </w:rPr>
        <w:t>医院</w:t>
      </w:r>
      <w:bookmarkStart w:id="8" w:name="_GoBack"/>
      <w:r>
        <w:rPr>
          <w:rFonts w:hint="eastAsia" w:asciiTheme="minorEastAsia" w:hAnsiTheme="minorEastAsia" w:eastAsiaTheme="minorEastAsia"/>
          <w:sz w:val="28"/>
          <w:szCs w:val="28"/>
          <w:highlight w:val="yellow"/>
        </w:rPr>
        <w:t>伍家院区补充安装部分监控设备项目</w:t>
      </w:r>
      <w:r>
        <w:rPr>
          <w:rFonts w:hint="eastAsia" w:asciiTheme="minorEastAsia" w:hAnsiTheme="minorEastAsia" w:eastAsiaTheme="minorEastAsia"/>
          <w:sz w:val="28"/>
          <w:szCs w:val="28"/>
          <w:highlight w:val="yellow"/>
          <w:lang w:eastAsia="zh-CN"/>
        </w:rPr>
        <w:t>（</w:t>
      </w:r>
      <w:r>
        <w:rPr>
          <w:rFonts w:hint="eastAsia" w:asciiTheme="minorEastAsia" w:hAnsiTheme="minorEastAsia" w:eastAsiaTheme="minorEastAsia"/>
          <w:sz w:val="28"/>
          <w:szCs w:val="28"/>
          <w:highlight w:val="yellow"/>
          <w:lang w:val="en-US" w:eastAsia="zh-CN"/>
        </w:rPr>
        <w:t>第二次</w:t>
      </w:r>
      <w:r>
        <w:rPr>
          <w:rFonts w:hint="eastAsia" w:asciiTheme="minorEastAsia" w:hAnsiTheme="minorEastAsia" w:eastAsiaTheme="minorEastAsia"/>
          <w:sz w:val="28"/>
          <w:szCs w:val="28"/>
          <w:highlight w:val="yellow"/>
          <w:lang w:eastAsia="zh-CN"/>
        </w:rPr>
        <w:t>）</w:t>
      </w:r>
      <w:bookmarkEnd w:id="8"/>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eastAsia" w:eastAsia="宋体" w:cs="Times New Roman"/>
          <w:sz w:val="28"/>
          <w:szCs w:val="28"/>
          <w:lang w:eastAsia="zh-CN"/>
        </w:rPr>
      </w:pPr>
      <w:r>
        <w:rPr>
          <w:sz w:val="28"/>
          <w:szCs w:val="28"/>
          <w:highlight w:val="yellow"/>
        </w:rPr>
        <w:t>1</w:t>
      </w:r>
      <w:r>
        <w:rPr>
          <w:rFonts w:hint="eastAsia"/>
          <w:sz w:val="28"/>
          <w:szCs w:val="28"/>
          <w:highlight w:val="yellow"/>
        </w:rPr>
        <w:t>、项目编号：YCZXYYZB-YN-2024-001</w:t>
      </w:r>
      <w:r>
        <w:rPr>
          <w:rFonts w:hint="eastAsia"/>
          <w:sz w:val="28"/>
          <w:szCs w:val="28"/>
          <w:highlight w:val="yellow"/>
          <w:lang w:eastAsia="zh-CN"/>
        </w:rPr>
        <w:t>（</w:t>
      </w:r>
      <w:r>
        <w:rPr>
          <w:rFonts w:hint="eastAsia"/>
          <w:sz w:val="28"/>
          <w:szCs w:val="28"/>
          <w:highlight w:val="yellow"/>
          <w:lang w:val="en-US" w:eastAsia="zh-CN"/>
        </w:rPr>
        <w:t>2</w:t>
      </w:r>
      <w:r>
        <w:rPr>
          <w:rFonts w:hint="eastAsia"/>
          <w:sz w:val="28"/>
          <w:szCs w:val="28"/>
          <w:highlight w:val="yellow"/>
          <w:lang w:eastAsia="zh-CN"/>
        </w:rPr>
        <w:t>）</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w:t>
      </w:r>
      <w:r>
        <w:rPr>
          <w:rFonts w:hint="eastAsia" w:asciiTheme="minorEastAsia" w:hAnsiTheme="minorEastAsia" w:eastAsiaTheme="minorEastAsia"/>
          <w:sz w:val="28"/>
          <w:szCs w:val="28"/>
        </w:rPr>
        <w:t>医院</w:t>
      </w:r>
      <w:r>
        <w:rPr>
          <w:rFonts w:hint="eastAsia" w:asciiTheme="minorEastAsia" w:hAnsiTheme="minorEastAsia" w:eastAsiaTheme="minorEastAsia"/>
          <w:sz w:val="28"/>
          <w:szCs w:val="28"/>
          <w:highlight w:val="yellow"/>
        </w:rPr>
        <w:t>伍家院区补充安装部分监控设备项目</w:t>
      </w:r>
      <w:r>
        <w:rPr>
          <w:rFonts w:hint="eastAsia" w:asciiTheme="minorEastAsia" w:hAnsiTheme="minorEastAsia" w:eastAsiaTheme="minorEastAsia"/>
          <w:sz w:val="28"/>
          <w:szCs w:val="28"/>
          <w:highlight w:val="yellow"/>
          <w:lang w:eastAsia="zh-CN"/>
        </w:rPr>
        <w:t>（</w:t>
      </w:r>
      <w:r>
        <w:rPr>
          <w:rFonts w:hint="eastAsia" w:asciiTheme="minorEastAsia" w:hAnsiTheme="minorEastAsia" w:eastAsiaTheme="minorEastAsia"/>
          <w:sz w:val="28"/>
          <w:szCs w:val="28"/>
          <w:highlight w:val="yellow"/>
          <w:lang w:val="en-US" w:eastAsia="zh-CN"/>
        </w:rPr>
        <w:t>第二次</w:t>
      </w:r>
      <w:r>
        <w:rPr>
          <w:rFonts w:hint="eastAsia" w:asciiTheme="minorEastAsia" w:hAnsiTheme="minorEastAsia" w:eastAsiaTheme="minorEastAsia"/>
          <w:sz w:val="28"/>
          <w:szCs w:val="28"/>
          <w:highlight w:val="yellow"/>
          <w:lang w:eastAsia="zh-CN"/>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highlight w:val="yellow"/>
        </w:rPr>
        <w:t>1</w:t>
      </w:r>
      <w:r>
        <w:rPr>
          <w:rFonts w:hint="eastAsia"/>
          <w:sz w:val="28"/>
          <w:szCs w:val="28"/>
          <w:highlight w:val="yellow"/>
        </w:rPr>
        <w:t>、投标文件递交的</w:t>
      </w:r>
      <w:r>
        <w:rPr>
          <w:rFonts w:hint="eastAsia"/>
          <w:b/>
          <w:bCs/>
          <w:sz w:val="28"/>
          <w:szCs w:val="28"/>
          <w:highlight w:val="yellow"/>
        </w:rPr>
        <w:t>截止时间</w:t>
      </w:r>
      <w:r>
        <w:rPr>
          <w:rFonts w:hint="eastAsia"/>
          <w:sz w:val="28"/>
          <w:szCs w:val="28"/>
          <w:highlight w:val="yellow"/>
        </w:rPr>
        <w:t>为2024年</w:t>
      </w:r>
      <w:r>
        <w:rPr>
          <w:rFonts w:hint="eastAsia"/>
          <w:sz w:val="28"/>
          <w:szCs w:val="28"/>
          <w:highlight w:val="yellow"/>
          <w:lang w:val="en-US" w:eastAsia="zh-CN"/>
        </w:rPr>
        <w:t>2</w:t>
      </w:r>
      <w:r>
        <w:rPr>
          <w:rFonts w:hint="eastAsia"/>
          <w:sz w:val="28"/>
          <w:szCs w:val="28"/>
          <w:highlight w:val="yellow"/>
        </w:rPr>
        <w:t>月</w:t>
      </w:r>
      <w:r>
        <w:rPr>
          <w:rFonts w:hint="eastAsia"/>
          <w:sz w:val="28"/>
          <w:szCs w:val="28"/>
          <w:highlight w:val="yellow"/>
          <w:lang w:val="en-US" w:eastAsia="zh-CN"/>
        </w:rPr>
        <w:t>29</w:t>
      </w:r>
      <w:r>
        <w:rPr>
          <w:rFonts w:hint="eastAsia"/>
          <w:sz w:val="28"/>
          <w:szCs w:val="28"/>
          <w:highlight w:val="yellow"/>
        </w:rPr>
        <w:t>日</w:t>
      </w:r>
      <w:r>
        <w:rPr>
          <w:sz w:val="28"/>
          <w:szCs w:val="28"/>
          <w:highlight w:val="yellow"/>
        </w:rPr>
        <w:t>09:30</w:t>
      </w:r>
      <w:r>
        <w:rPr>
          <w:rFonts w:hint="eastAsia"/>
          <w:sz w:val="28"/>
          <w:szCs w:val="28"/>
          <w:highlight w:val="yellow"/>
        </w:rPr>
        <w:t>。</w:t>
      </w:r>
    </w:p>
    <w:p>
      <w:pPr>
        <w:pStyle w:val="9"/>
        <w:shd w:val="clear" w:color="auto" w:fill="FFFFFF"/>
        <w:spacing w:before="0" w:beforeAutospacing="0" w:after="0" w:afterAutospacing="0"/>
        <w:ind w:firstLine="562" w:firstLineChars="200"/>
        <w:rPr>
          <w:rFonts w:cs="Times New Roman"/>
          <w:b/>
          <w:sz w:val="28"/>
          <w:szCs w:val="28"/>
        </w:rPr>
      </w:pPr>
      <w:r>
        <w:rPr>
          <w:b/>
          <w:sz w:val="28"/>
          <w:szCs w:val="28"/>
          <w:highlight w:val="yellow"/>
        </w:rPr>
        <w:t>2</w:t>
      </w:r>
      <w:r>
        <w:rPr>
          <w:rFonts w:hint="eastAsia"/>
          <w:b/>
          <w:sz w:val="28"/>
          <w:szCs w:val="28"/>
          <w:highlight w:val="yellow"/>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highlight w:val="yellow"/>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eastAsia="zh-CN"/>
        </w:rPr>
        <w:t>（</w:t>
      </w:r>
      <w:r>
        <w:rPr>
          <w:rFonts w:hint="eastAsia"/>
          <w:sz w:val="28"/>
          <w:szCs w:val="28"/>
          <w:u w:val="single"/>
          <w:lang w:val="en-US" w:eastAsia="zh-CN"/>
        </w:rPr>
        <w:t>伍家院区9号楼3楼310室</w:t>
      </w:r>
      <w:r>
        <w:rPr>
          <w:rFonts w:hint="eastAsia"/>
          <w:sz w:val="28"/>
          <w:szCs w:val="28"/>
          <w:u w:val="single"/>
          <w:lang w:eastAsia="zh-CN"/>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hint="eastAsia"/>
          <w:sz w:val="28"/>
          <w:szCs w:val="28"/>
          <w:highlight w:val="none"/>
          <w:lang w:val="en-US" w:eastAsia="zh-CN"/>
        </w:rPr>
      </w:pPr>
      <w:r>
        <w:rPr>
          <w:rFonts w:hint="eastAsia"/>
          <w:sz w:val="28"/>
          <w:szCs w:val="28"/>
          <w:highlight w:val="none"/>
        </w:rPr>
        <w:t>联系人：</w:t>
      </w:r>
      <w:r>
        <w:rPr>
          <w:rFonts w:hint="eastAsia"/>
          <w:sz w:val="28"/>
          <w:szCs w:val="28"/>
          <w:highlight w:val="none"/>
          <w:lang w:val="en-US" w:eastAsia="zh-CN"/>
        </w:rPr>
        <w:t>汤老师（保卫科）</w:t>
      </w:r>
    </w:p>
    <w:p>
      <w:pPr>
        <w:pStyle w:val="9"/>
        <w:shd w:val="clear" w:color="auto" w:fill="FFFFFF"/>
        <w:spacing w:before="0" w:beforeAutospacing="0" w:after="0" w:afterAutospacing="0"/>
        <w:ind w:firstLine="560" w:firstLineChars="200"/>
        <w:rPr>
          <w:rFonts w:hint="default"/>
          <w:sz w:val="28"/>
          <w:szCs w:val="28"/>
          <w:highlight w:val="none"/>
          <w:lang w:val="en-US" w:eastAsia="zh-CN"/>
        </w:rPr>
      </w:pPr>
      <w:r>
        <w:rPr>
          <w:rFonts w:hint="eastAsia"/>
          <w:sz w:val="28"/>
          <w:szCs w:val="28"/>
          <w:highlight w:val="none"/>
          <w:lang w:val="en-US" w:eastAsia="zh-CN"/>
        </w:rPr>
        <w:t xml:space="preserve">        高老师</w:t>
      </w:r>
    </w:p>
    <w:p>
      <w:pPr>
        <w:pStyle w:val="9"/>
        <w:shd w:val="clear" w:color="auto" w:fill="FFFFFF"/>
        <w:spacing w:before="0" w:beforeAutospacing="0" w:after="0" w:afterAutospacing="0"/>
        <w:ind w:firstLine="560" w:firstLineChars="200"/>
        <w:rPr>
          <w:rFonts w:hint="eastAsia"/>
          <w:sz w:val="28"/>
          <w:szCs w:val="28"/>
          <w:highlight w:val="none"/>
          <w:lang w:eastAsia="zh-CN"/>
        </w:rPr>
      </w:pPr>
      <w:r>
        <w:rPr>
          <w:rFonts w:hint="eastAsia"/>
          <w:sz w:val="28"/>
          <w:szCs w:val="28"/>
          <w:highlight w:val="none"/>
        </w:rPr>
        <w:t>联系电话：6487646</w:t>
      </w:r>
      <w:r>
        <w:rPr>
          <w:rFonts w:hint="eastAsia"/>
          <w:sz w:val="28"/>
          <w:szCs w:val="28"/>
          <w:highlight w:val="none"/>
          <w:lang w:eastAsia="zh-CN"/>
        </w:rPr>
        <w:t>（</w:t>
      </w:r>
      <w:r>
        <w:rPr>
          <w:rFonts w:hint="eastAsia"/>
          <w:sz w:val="28"/>
          <w:szCs w:val="28"/>
          <w:highlight w:val="none"/>
          <w:lang w:val="en-US" w:eastAsia="zh-CN"/>
        </w:rPr>
        <w:t>保卫科</w:t>
      </w:r>
      <w:r>
        <w:rPr>
          <w:rFonts w:hint="eastAsia"/>
          <w:sz w:val="28"/>
          <w:szCs w:val="28"/>
          <w:highlight w:val="none"/>
          <w:lang w:eastAsia="zh-CN"/>
        </w:rPr>
        <w:t>）</w:t>
      </w:r>
    </w:p>
    <w:p>
      <w:pPr>
        <w:tabs>
          <w:tab w:val="left" w:pos="1963"/>
        </w:tabs>
        <w:jc w:val="left"/>
        <w:rPr>
          <w:rFonts w:hint="default" w:ascii="宋体" w:hAnsi="宋体" w:eastAsia="宋体" w:cs="宋体"/>
          <w:kern w:val="0"/>
          <w:sz w:val="28"/>
          <w:szCs w:val="28"/>
          <w:highlight w:val="none"/>
          <w:lang w:val="en-US" w:eastAsia="zh-CN" w:bidi="ar-SA"/>
        </w:rPr>
      </w:pPr>
      <w:r>
        <w:rPr>
          <w:rFonts w:hint="eastAsia" w:ascii="黑体" w:eastAsia="黑体" w:cs="黑体"/>
          <w:sz w:val="44"/>
          <w:szCs w:val="44"/>
          <w:highlight w:val="none"/>
          <w:lang w:eastAsia="zh-CN"/>
        </w:rPr>
        <w:tab/>
      </w:r>
      <w:r>
        <w:rPr>
          <w:rFonts w:hint="eastAsia" w:ascii="宋体" w:hAnsi="宋体" w:eastAsia="宋体" w:cs="宋体"/>
          <w:kern w:val="0"/>
          <w:sz w:val="28"/>
          <w:szCs w:val="28"/>
          <w:highlight w:val="none"/>
          <w:lang w:val="en-US" w:eastAsia="zh-CN" w:bidi="ar-SA"/>
        </w:rPr>
        <w:t>13997662875</w:t>
      </w: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highlight w:val="yellow"/>
        </w:rPr>
        <w:t>1</w:t>
      </w:r>
      <w:r>
        <w:rPr>
          <w:rFonts w:hint="eastAsia" w:ascii="宋体" w:hAnsi="宋体" w:cs="宋体"/>
          <w:sz w:val="28"/>
          <w:szCs w:val="28"/>
          <w:highlight w:val="yellow"/>
        </w:rPr>
        <w:t>、项目编号：</w:t>
      </w:r>
      <w:r>
        <w:rPr>
          <w:rFonts w:hint="eastAsia"/>
          <w:sz w:val="28"/>
          <w:szCs w:val="28"/>
          <w:highlight w:val="yellow"/>
        </w:rPr>
        <w:t>YCZXYYZB-YN-2024-001</w:t>
      </w:r>
      <w:r>
        <w:rPr>
          <w:rFonts w:hint="eastAsia"/>
          <w:sz w:val="28"/>
          <w:szCs w:val="28"/>
          <w:highlight w:val="yellow"/>
          <w:lang w:eastAsia="zh-CN"/>
        </w:rPr>
        <w:t>（</w:t>
      </w:r>
      <w:r>
        <w:rPr>
          <w:rFonts w:hint="eastAsia"/>
          <w:sz w:val="28"/>
          <w:szCs w:val="28"/>
          <w:highlight w:val="yellow"/>
          <w:lang w:val="en-US" w:eastAsia="zh-CN"/>
        </w:rPr>
        <w:t>2</w:t>
      </w:r>
      <w:r>
        <w:rPr>
          <w:rFonts w:hint="eastAsia"/>
          <w:sz w:val="28"/>
          <w:szCs w:val="28"/>
          <w:highlight w:val="yellow"/>
          <w:lang w:eastAsia="zh-CN"/>
        </w:rPr>
        <w:t>）</w:t>
      </w:r>
    </w:p>
    <w:p>
      <w:pPr>
        <w:ind w:firstLine="560" w:firstLineChars="200"/>
        <w:rPr>
          <w:rFonts w:hint="eastAsia" w:cs="Times New Roman" w:asciiTheme="minorEastAsia" w:hAnsiTheme="minorEastAsia" w:eastAsiaTheme="minorEastAsia"/>
          <w:sz w:val="28"/>
          <w:szCs w:val="28"/>
          <w:lang w:eastAsia="zh-CN"/>
        </w:rPr>
      </w:pPr>
      <w:r>
        <w:rPr>
          <w:rFonts w:ascii="宋体" w:hAnsi="宋体" w:cs="宋体"/>
          <w:sz w:val="28"/>
          <w:szCs w:val="28"/>
        </w:rPr>
        <w:t>2</w:t>
      </w:r>
      <w:r>
        <w:rPr>
          <w:rFonts w:hint="eastAsia" w:ascii="宋体" w:hAnsi="宋体" w:cs="宋体"/>
          <w:sz w:val="28"/>
          <w:szCs w:val="28"/>
        </w:rPr>
        <w:t>、项目名称：宜昌市中心人民</w:t>
      </w:r>
      <w:r>
        <w:rPr>
          <w:rFonts w:hint="eastAsia" w:cs="宋体" w:asciiTheme="minorEastAsia" w:hAnsiTheme="minorEastAsia" w:eastAsiaTheme="minorEastAsia"/>
          <w:sz w:val="28"/>
          <w:szCs w:val="28"/>
        </w:rPr>
        <w:t>医院</w:t>
      </w:r>
      <w:r>
        <w:rPr>
          <w:rFonts w:hint="eastAsia" w:asciiTheme="minorEastAsia" w:hAnsiTheme="minorEastAsia" w:eastAsiaTheme="minorEastAsia"/>
          <w:sz w:val="28"/>
          <w:szCs w:val="28"/>
        </w:rPr>
        <w:t>伍家院区补充安装部分监控设备项目</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第二次</w:t>
      </w:r>
      <w:r>
        <w:rPr>
          <w:rFonts w:hint="eastAsia" w:asciiTheme="minorEastAsia" w:hAnsiTheme="minorEastAsia" w:eastAsiaTheme="minor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18.1万元，</w:t>
      </w:r>
      <w:r>
        <w:rPr>
          <w:rFonts w:hint="eastAsia" w:ascii="宋体" w:hAnsi="宋体" w:cs="宋体"/>
          <w:kern w:val="0"/>
          <w:sz w:val="28"/>
          <w:szCs w:val="28"/>
        </w:rPr>
        <w:t>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cs="Times New Roman" w:asciiTheme="minorEastAsia" w:hAnsiTheme="minorEastAsia" w:eastAsiaTheme="minorEastAsia"/>
          <w:sz w:val="28"/>
          <w:szCs w:val="28"/>
        </w:rPr>
      </w:pPr>
      <w:r>
        <w:rPr>
          <w:rFonts w:hint="eastAsia" w:ascii="宋体" w:hAnsi="宋体" w:cs="宋体"/>
          <w:bCs/>
          <w:kern w:val="0"/>
          <w:sz w:val="28"/>
          <w:szCs w:val="28"/>
          <w:highlight w:val="yellow"/>
        </w:rPr>
        <w:t>宜昌市中心人</w:t>
      </w:r>
      <w:r>
        <w:rPr>
          <w:rFonts w:hint="eastAsia" w:cs="宋体" w:asciiTheme="minorEastAsia" w:hAnsiTheme="minorEastAsia" w:eastAsiaTheme="minorEastAsia"/>
          <w:bCs/>
          <w:kern w:val="0"/>
          <w:sz w:val="28"/>
          <w:szCs w:val="28"/>
          <w:highlight w:val="yellow"/>
        </w:rPr>
        <w:t>民医院伍家院区</w:t>
      </w:r>
      <w:r>
        <w:rPr>
          <w:rFonts w:hint="eastAsia" w:cs="Times New Roman" w:asciiTheme="minorEastAsia" w:hAnsiTheme="minorEastAsia" w:eastAsiaTheme="minorEastAsia"/>
          <w:sz w:val="28"/>
          <w:szCs w:val="28"/>
          <w:highlight w:val="yellow"/>
        </w:rPr>
        <w:t>视频监控平台根据实际需求，补充安装部分监控设备，包括门急诊楼现场终端设备和其后台系统存储设备等。</w:t>
      </w:r>
    </w:p>
    <w:p>
      <w:pPr>
        <w:widowControl/>
        <w:spacing w:line="50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p>
      <w:pPr>
        <w:autoSpaceDE w:val="0"/>
        <w:autoSpaceDN w:val="0"/>
        <w:adjustRightInd w:val="0"/>
        <w:contextualSpacing/>
        <w:outlineLvl w:val="0"/>
        <w:rPr>
          <w:rFonts w:ascii="宋体" w:hAnsi="宋体"/>
          <w:b/>
          <w:sz w:val="28"/>
          <w:szCs w:val="28"/>
        </w:rPr>
      </w:pPr>
    </w:p>
    <w:tbl>
      <w:tblPr>
        <w:tblStyle w:val="10"/>
        <w:tblW w:w="6454" w:type="dxa"/>
        <w:tblInd w:w="100" w:type="dxa"/>
        <w:tblLayout w:type="autofit"/>
        <w:tblCellMar>
          <w:top w:w="0" w:type="dxa"/>
          <w:left w:w="108" w:type="dxa"/>
          <w:bottom w:w="0" w:type="dxa"/>
          <w:right w:w="108" w:type="dxa"/>
        </w:tblCellMar>
      </w:tblPr>
      <w:tblGrid>
        <w:gridCol w:w="1040"/>
        <w:gridCol w:w="3334"/>
        <w:gridCol w:w="1040"/>
        <w:gridCol w:w="1040"/>
      </w:tblGrid>
      <w:tr>
        <w:tblPrEx>
          <w:tblCellMar>
            <w:top w:w="0" w:type="dxa"/>
            <w:left w:w="108" w:type="dxa"/>
            <w:bottom w:w="0" w:type="dxa"/>
            <w:right w:w="108" w:type="dxa"/>
          </w:tblCellMar>
        </w:tblPrEx>
        <w:trPr>
          <w:trHeight w:val="440" w:hRule="atLeast"/>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33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设备名称</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单位</w:t>
            </w:r>
          </w:p>
        </w:tc>
        <w:tc>
          <w:tcPr>
            <w:tcW w:w="1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数量</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半球摄像机（带报警、拾音）</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台</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25</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一键报警按钮</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一体化监控级SATA硬盘(6T)</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块</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38</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室内监控电源</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个</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25</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网线</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米</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1500</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电源线</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米</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1500</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交换机</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台</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光模块</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块</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2</w:t>
            </w:r>
          </w:p>
        </w:tc>
      </w:tr>
      <w:tr>
        <w:tblPrEx>
          <w:tblCellMar>
            <w:top w:w="0" w:type="dxa"/>
            <w:left w:w="108" w:type="dxa"/>
            <w:bottom w:w="0" w:type="dxa"/>
            <w:right w:w="108" w:type="dxa"/>
          </w:tblCellMar>
        </w:tblPrEx>
        <w:trPr>
          <w:trHeight w:val="44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3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PVC管</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米</w:t>
            </w:r>
          </w:p>
        </w:tc>
        <w:tc>
          <w:tcPr>
            <w:tcW w:w="104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355</w:t>
            </w:r>
          </w:p>
        </w:tc>
      </w:tr>
    </w:tbl>
    <w:p>
      <w:pPr>
        <w:autoSpaceDE w:val="0"/>
        <w:autoSpaceDN w:val="0"/>
        <w:adjustRightInd w:val="0"/>
        <w:contextualSpacing/>
        <w:outlineLvl w:val="0"/>
        <w:rPr>
          <w:rFonts w:ascii="宋体" w:hAnsi="宋体"/>
          <w:b/>
          <w:sz w:val="28"/>
          <w:szCs w:val="28"/>
        </w:rPr>
      </w:pPr>
    </w:p>
    <w:p>
      <w:pPr>
        <w:autoSpaceDE w:val="0"/>
        <w:autoSpaceDN w:val="0"/>
        <w:adjustRightInd w:val="0"/>
        <w:contextualSpacing/>
        <w:outlineLvl w:val="0"/>
        <w:rPr>
          <w:rFonts w:ascii="宋体" w:hAnsi="宋体"/>
          <w:b/>
          <w:sz w:val="28"/>
          <w:szCs w:val="28"/>
        </w:rPr>
      </w:pPr>
      <w:r>
        <w:rPr>
          <w:rFonts w:hint="eastAsia" w:ascii="宋体" w:hAnsi="宋体"/>
          <w:b/>
          <w:sz w:val="28"/>
          <w:szCs w:val="28"/>
        </w:rPr>
        <w:t>注：数量仅供投标参考，具体供货数量及结算金额以实际需求为准</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8660" w:type="dxa"/>
        <w:tblInd w:w="98" w:type="dxa"/>
        <w:tblLayout w:type="autofit"/>
        <w:tblCellMar>
          <w:top w:w="0" w:type="dxa"/>
          <w:left w:w="108" w:type="dxa"/>
          <w:bottom w:w="0" w:type="dxa"/>
          <w:right w:w="108" w:type="dxa"/>
        </w:tblCellMar>
      </w:tblPr>
      <w:tblGrid>
        <w:gridCol w:w="554"/>
        <w:gridCol w:w="3186"/>
        <w:gridCol w:w="3927"/>
        <w:gridCol w:w="993"/>
      </w:tblGrid>
      <w:tr>
        <w:tblPrEx>
          <w:tblCellMar>
            <w:top w:w="0" w:type="dxa"/>
            <w:left w:w="108" w:type="dxa"/>
            <w:bottom w:w="0" w:type="dxa"/>
            <w:right w:w="108" w:type="dxa"/>
          </w:tblCellMar>
        </w:tblPrEx>
        <w:trPr>
          <w:trHeight w:val="440" w:hRule="atLeast"/>
        </w:trPr>
        <w:tc>
          <w:tcPr>
            <w:tcW w:w="5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序号</w:t>
            </w:r>
          </w:p>
        </w:tc>
        <w:tc>
          <w:tcPr>
            <w:tcW w:w="31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设备名称</w:t>
            </w:r>
          </w:p>
        </w:tc>
        <w:tc>
          <w:tcPr>
            <w:tcW w:w="392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参数</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cs="宋体"/>
                <w:b/>
                <w:bCs/>
                <w:color w:val="000000"/>
                <w:kern w:val="0"/>
                <w:sz w:val="22"/>
                <w:szCs w:val="22"/>
              </w:rPr>
              <w:t>备注</w:t>
            </w:r>
          </w:p>
        </w:tc>
      </w:tr>
      <w:tr>
        <w:tblPrEx>
          <w:tblCellMar>
            <w:top w:w="0" w:type="dxa"/>
            <w:left w:w="108" w:type="dxa"/>
            <w:bottom w:w="0" w:type="dxa"/>
            <w:right w:w="108" w:type="dxa"/>
          </w:tblCellMar>
        </w:tblPrEx>
        <w:trPr>
          <w:trHeight w:val="440"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18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半球摄像机（带报警、拾音）</w:t>
            </w:r>
          </w:p>
        </w:tc>
        <w:tc>
          <w:tcPr>
            <w:tcW w:w="392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1. ≥1/3 inch逐行扫描400万像素CMOS图像传感器；镜头2.8、4、6mm定焦可选</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 内置CPU/GPU/NPU一体化芯片, 具有1个RJ45接口、1个音频输入接口、1个音频输出接口、1个SD卡槽、1个报警输入接口、1个报警输出接口。设备采用DC12V或POE供电。</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3. 电源适应范围：未使用适配器的情况下，电源电压在DC12V±35%范围内变化时，设备应能正常工作。 </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 最低照度：彩色≤0.0005lux（AGC ON,RJ45输出、 应能分辨反射式视频矩阵测试卡中彩色色块）。 提供公安部权威机构检测报告复印件并加盖原厂商鲜章为证。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5. 夜视距离：可识别距离设备100m处人体轮廓（1.7m×0.5m）轮廓。 </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6. 宽动态自动切换功能检验：在IE浏览器下，设备具有宽动态自动设置选项。在环境亮度变化时，可自动进行关闭/开启切换。 </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7. 走廊模式：开启走廊模式后，监控画面可90°旋转并自动调整宽高比。 </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8. 语音功能：具有双向语音对讲和单向语音广播功能。 </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9. 认证模式设置功能：可通过IE浏览器或客户端软件设置身份认证模式，设置选项包括无、Basic和Digest三种。 提供公安部权威机构检测报告复印件并加盖原厂商鲜章为证。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10. 网关ARP绑定功能：设备可通过IE浏览器添加并绑定设备所在网段网关的MAC地址，当其它终端设备访问设备时，若使用正确的网关MAC地址即设备绑定的MAC地址则可以正常访问设备；当使用错误的网关MAC地址即不是设备绑定的MAC地址则不能访问设备。 提供公安部权威机构检测报告复印件并加盖原厂商鲜章为证。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11. 友好密码功能：启用友好密码功能策略时，与设备处于同一网段的地址可以使用设备出厂密码登录和访问设备；跨网段的地址只能使用复杂度为高的密码（至少8位，由大小写字母、数字和特殊字符组成）登录和访问设备；关闭友好密码功能策略时，与设备处于同一网段的地址和跨网段的地址都只能使用复杂度为高的密码（至少8位，由大小写字母、数字和特殊字符组成）登录和访问设备。 提供公安部权威机构检测报告复印件并加盖原厂商鲜章为证。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12. 视频内容保护功能：设备可配置启用或关闭视频内容保护功能，启用该功能时可对视频图像码流进行随机混淆处理，即对每帧视频图像编码随机改变每帧视频数据报文中若干字节的内容后再进行网络传输。通过提取设备通信网络数据包方式获得的经过数字随机混淆处理的视频码流无法正常播放。提供公安部权威机构检测报告复印件并加盖原厂商鲜章为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13. 外壳防护能力： IP68</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14.为保证投标人或投标人所投摄像机产品设备制造商具备较强的研发创新应用能力以及平台产品测试验证能力，能够为所投产品提供较高的质量保障，并入选国家工信部重点实验室成员名单，提供相关证明材料并加盖原厂鲜章证明</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15.为保障所投视频监控系统的安全性，摄像机设备制造商应具备完善的视频监控系统网络及安全解决方案的能力，能保证整个视频监控系统设备在不同私网里能互联，以及互联后视频图像实时点播、录像回放等监控业务稳定可用，并且有对恶劣承载网络的适应能力，以及安全风险的抵御与防护能力等，提供公安部权威机构关于视频监控系统网络及安全解决方案的安全测评报告复印件并加盖原厂商鲜章</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16.★设备与现场原监控系统设备100%无缝兼容</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0"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18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一键报警按钮</w:t>
            </w:r>
          </w:p>
        </w:tc>
        <w:tc>
          <w:tcPr>
            <w:tcW w:w="392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材质:塑料外壳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尺寸:86*86*36mm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重量:工作温度：-30℃-+60℃， 工作湿度：≤95%；</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使用环境:0.1KG</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0"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18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一体化监控级SATA硬盘(6T)</w:t>
            </w:r>
          </w:p>
        </w:tc>
        <w:tc>
          <w:tcPr>
            <w:tcW w:w="392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接口类型:SATA</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尺寸:3.5英寸</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硬盘类型:监控级</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盘位数:48盘位（单控、双盘）</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转速:5400RPM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缓存:不低于64MB</w:t>
            </w:r>
          </w:p>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★设备与现场原监控系统设备100%无缝兼容</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0"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1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室内监控电源</w:t>
            </w:r>
          </w:p>
        </w:tc>
        <w:tc>
          <w:tcPr>
            <w:tcW w:w="39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rPr>
            </w:pPr>
            <w:r>
              <w:rPr>
                <w:rFonts w:hint="eastAsia" w:ascii="宋体" w:hAnsi="宋体" w:cs="宋体"/>
                <w:color w:val="000000"/>
                <w:kern w:val="0"/>
              </w:rPr>
              <w:t>12V2A</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40"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18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网线</w:t>
            </w:r>
          </w:p>
        </w:tc>
        <w:tc>
          <w:tcPr>
            <w:tcW w:w="3927"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超六类无氧铜</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0"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318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电源线</w:t>
            </w:r>
          </w:p>
        </w:tc>
        <w:tc>
          <w:tcPr>
            <w:tcW w:w="3927"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RW2*1.0全铜</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CellMar>
            <w:top w:w="0" w:type="dxa"/>
            <w:left w:w="108" w:type="dxa"/>
            <w:bottom w:w="0" w:type="dxa"/>
            <w:right w:w="108" w:type="dxa"/>
          </w:tblCellMar>
        </w:tblPrEx>
        <w:trPr>
          <w:trHeight w:val="440"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31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交换机</w:t>
            </w:r>
          </w:p>
        </w:tc>
        <w:tc>
          <w:tcPr>
            <w:tcW w:w="392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szCs w:val="22"/>
              </w:rPr>
            </w:pPr>
            <w:r>
              <w:rPr>
                <w:rFonts w:hint="eastAsia" w:ascii="宋体" w:hAnsi="宋体" w:cs="宋体"/>
                <w:color w:val="000000"/>
                <w:kern w:val="0"/>
                <w:sz w:val="22"/>
                <w:szCs w:val="22"/>
              </w:rPr>
              <w:t>S200-24T4S(24个10/100/1000BASE-T以太网端口,4个千兆SFP,交流供电) 千兆web管理交换机，包转发率42Mpps，交换容量336Gbps，24个千兆电口，4个千兆光口，VLAN：4K，MAC：16K，19英寸1U标准机架，金属外壳</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40" w:hRule="atLeast"/>
        </w:trPr>
        <w:tc>
          <w:tcPr>
            <w:tcW w:w="5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31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光模块</w:t>
            </w:r>
          </w:p>
        </w:tc>
        <w:tc>
          <w:tcPr>
            <w:tcW w:w="39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rPr>
            </w:pPr>
            <w:r>
              <w:rPr>
                <w:rFonts w:hint="eastAsia" w:ascii="宋体" w:hAnsi="宋体" w:cs="宋体"/>
                <w:color w:val="000000"/>
                <w:kern w:val="0"/>
              </w:rPr>
              <w:t>光模块-eSFP-GE-单模模块(1310nm,10km,LC)</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　</w:t>
            </w:r>
          </w:p>
        </w:tc>
      </w:tr>
    </w:tbl>
    <w:p>
      <w:pPr>
        <w:autoSpaceDE w:val="0"/>
        <w:autoSpaceDN w:val="0"/>
        <w:adjustRightInd w:val="0"/>
        <w:contextualSpacing/>
        <w:outlineLvl w:val="0"/>
        <w:rPr>
          <w:rFonts w:ascii="宋体" w:hAnsi="宋体"/>
          <w:b/>
          <w:sz w:val="28"/>
          <w:szCs w:val="28"/>
        </w:rPr>
      </w:pP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jc w:val="left"/>
        <w:rPr>
          <w:rFonts w:ascii="宋体" w:hAnsi="宋体" w:cs="宋体"/>
          <w:kern w:val="0"/>
          <w:sz w:val="28"/>
          <w:szCs w:val="28"/>
        </w:rPr>
      </w:pPr>
      <w:r>
        <w:rPr>
          <w:rFonts w:hint="eastAsia" w:ascii="宋体" w:hAnsi="宋体" w:cs="宋体"/>
          <w:kern w:val="0"/>
          <w:sz w:val="28"/>
          <w:szCs w:val="28"/>
        </w:rPr>
        <w:t>1.交货时间：合同签订后，供应商根据甲方需求将货物送达采购人指定地点并当场验收签字。</w:t>
      </w:r>
    </w:p>
    <w:p>
      <w:pPr>
        <w:ind w:firstLine="560" w:firstLineChars="200"/>
        <w:jc w:val="left"/>
        <w:rPr>
          <w:rFonts w:ascii="宋体" w:hAnsi="宋体" w:cs="宋体"/>
          <w:kern w:val="0"/>
          <w:sz w:val="28"/>
          <w:szCs w:val="28"/>
        </w:rPr>
      </w:pPr>
      <w:r>
        <w:rPr>
          <w:rFonts w:hint="eastAsia" w:ascii="宋体" w:hAnsi="宋体" w:cs="宋体"/>
          <w:kern w:val="0"/>
          <w:sz w:val="28"/>
          <w:szCs w:val="28"/>
        </w:rPr>
        <w:t>2.交货地点：宜昌市中心人民医院。</w:t>
      </w:r>
    </w:p>
    <w:p>
      <w:pPr>
        <w:spacing w:line="540" w:lineRule="exact"/>
        <w:ind w:firstLine="560" w:firstLineChars="200"/>
        <w:rPr>
          <w:rFonts w:cs="宋体" w:asciiTheme="minorEastAsia" w:hAnsiTheme="minorEastAsia" w:eastAsiaTheme="minorEastAsia"/>
          <w:sz w:val="28"/>
          <w:szCs w:val="28"/>
        </w:rPr>
      </w:pPr>
      <w:r>
        <w:rPr>
          <w:rFonts w:hint="eastAsia" w:ascii="宋体" w:hAnsi="宋体" w:cs="宋体"/>
          <w:kern w:val="0"/>
          <w:sz w:val="28"/>
          <w:szCs w:val="28"/>
        </w:rPr>
        <w:t>3.付款方式：</w:t>
      </w:r>
      <w:r>
        <w:rPr>
          <w:rFonts w:hint="eastAsia" w:cs="宋体" w:asciiTheme="minorEastAsia" w:hAnsiTheme="minorEastAsia" w:eastAsiaTheme="minorEastAsia"/>
          <w:kern w:val="0"/>
          <w:sz w:val="28"/>
          <w:szCs w:val="28"/>
        </w:rPr>
        <w:t>甲方验收合格后据实</w:t>
      </w:r>
      <w:r>
        <w:rPr>
          <w:rFonts w:hint="eastAsia" w:cs="宋体" w:asciiTheme="minorEastAsia" w:hAnsiTheme="minorEastAsia" w:eastAsiaTheme="minorEastAsia"/>
          <w:sz w:val="28"/>
          <w:szCs w:val="28"/>
        </w:rPr>
        <w:t>结算总价的95%，余5%在质保期满壹年后无质量问题，甲方15个工作日内一次性无息支付全额质保金。</w:t>
      </w:r>
      <w:r>
        <w:rPr>
          <w:rFonts w:hint="eastAsia" w:asciiTheme="minorEastAsia" w:hAnsiTheme="minorEastAsia" w:eastAsiaTheme="minor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pPr>
        <w:spacing w:line="540" w:lineRule="exact"/>
        <w:ind w:firstLine="560" w:firstLineChars="200"/>
        <w:rPr>
          <w:rFonts w:asciiTheme="minorEastAsia" w:hAnsiTheme="minorEastAsia" w:eastAsiaTheme="minorEastAsia"/>
          <w:sz w:val="28"/>
          <w:szCs w:val="28"/>
        </w:rPr>
      </w:pPr>
      <w:r>
        <w:rPr>
          <w:rFonts w:hint="eastAsia" w:ascii="宋体" w:hAnsi="宋体" w:cs="宋体"/>
          <w:kern w:val="0"/>
          <w:sz w:val="28"/>
          <w:szCs w:val="28"/>
        </w:rPr>
        <w:t>4.</w:t>
      </w:r>
      <w:r>
        <w:rPr>
          <w:rFonts w:hint="eastAsia" w:asciiTheme="minorEastAsia" w:hAnsiTheme="minorEastAsia" w:eastAsiaTheme="minorEastAsia"/>
          <w:sz w:val="28"/>
          <w:szCs w:val="28"/>
        </w:rPr>
        <w:t>对货物提出异议的期限及处理办法：中标服务商在接到采购人书面异议后，应在</w:t>
      </w:r>
      <w:r>
        <w:rPr>
          <w:rFonts w:hint="eastAsia" w:asciiTheme="minorEastAsia" w:hAnsiTheme="minorEastAsia" w:eastAsiaTheme="minorEastAsia"/>
          <w:sz w:val="28"/>
          <w:szCs w:val="28"/>
          <w:u w:val="single"/>
        </w:rPr>
        <w:t xml:space="preserve"> 24小时 </w:t>
      </w:r>
      <w:r>
        <w:rPr>
          <w:rFonts w:hint="eastAsia" w:asciiTheme="minorEastAsia" w:hAnsiTheme="minorEastAsia" w:eastAsiaTheme="minorEastAsia"/>
          <w:sz w:val="28"/>
          <w:szCs w:val="28"/>
        </w:rPr>
        <w:t>内负责处理，否则，即视为默认采购人提出的异议和处理意见。因产品不合格采购人有权选择退货或换货，由此产生的费用全部由乙方承担。</w:t>
      </w:r>
    </w:p>
    <w:p>
      <w:pPr>
        <w:spacing w:line="500" w:lineRule="exact"/>
        <w:ind w:firstLine="560" w:firstLineChars="200"/>
        <w:rPr>
          <w:rFonts w:ascii="宋体" w:hAnsi="宋体"/>
          <w:sz w:val="28"/>
          <w:szCs w:val="28"/>
        </w:rPr>
      </w:pPr>
      <w:r>
        <w:rPr>
          <w:rFonts w:hint="eastAsia" w:asciiTheme="minorEastAsia" w:hAnsiTheme="minorEastAsia" w:eastAsiaTheme="minorEastAsia"/>
          <w:sz w:val="28"/>
          <w:szCs w:val="28"/>
        </w:rPr>
        <w:t>5.</w:t>
      </w:r>
      <w:r>
        <w:rPr>
          <w:rFonts w:ascii="宋体" w:hAnsi="宋体"/>
          <w:sz w:val="28"/>
          <w:szCs w:val="28"/>
        </w:rPr>
        <w:t>报价包</w:t>
      </w:r>
      <w:r>
        <w:rPr>
          <w:rFonts w:hint="eastAsia" w:ascii="宋体" w:hAnsi="宋体"/>
          <w:sz w:val="28"/>
          <w:szCs w:val="28"/>
        </w:rPr>
        <w:t>含人工、运输、搬运、税金等所有</w:t>
      </w:r>
      <w:r>
        <w:rPr>
          <w:rFonts w:ascii="宋体" w:hAnsi="宋体"/>
          <w:sz w:val="28"/>
          <w:szCs w:val="28"/>
        </w:rPr>
        <w:t>费用，</w:t>
      </w:r>
      <w:r>
        <w:rPr>
          <w:rFonts w:hint="eastAsia" w:ascii="宋体" w:hAnsi="宋体"/>
          <w:sz w:val="28"/>
          <w:szCs w:val="28"/>
        </w:rPr>
        <w:t>如</w:t>
      </w:r>
      <w:r>
        <w:rPr>
          <w:rFonts w:ascii="宋体" w:hAnsi="宋体"/>
          <w:sz w:val="28"/>
          <w:szCs w:val="28"/>
        </w:rPr>
        <w:t>需要增加的其它费用全部由成交供应商自行解决，采购人不再追加价款。</w:t>
      </w:r>
    </w:p>
    <w:p>
      <w:pPr>
        <w:spacing w:line="500" w:lineRule="exact"/>
        <w:ind w:firstLine="560" w:firstLineChars="200"/>
        <w:rPr>
          <w:rFonts w:ascii="宋体" w:hAnsi="宋体"/>
          <w:sz w:val="28"/>
          <w:szCs w:val="28"/>
        </w:rPr>
      </w:pPr>
    </w:p>
    <w:p>
      <w:pPr>
        <w:jc w:val="left"/>
        <w:rPr>
          <w:rFonts w:ascii="宋体" w:hAnsi="宋体" w:cs="宋体"/>
          <w:b/>
          <w:kern w:val="0"/>
          <w:sz w:val="28"/>
          <w:szCs w:val="28"/>
        </w:rPr>
      </w:pPr>
      <w:r>
        <w:rPr>
          <w:rFonts w:hint="eastAsia" w:ascii="宋体" w:hAnsi="宋体" w:cs="宋体"/>
          <w:b/>
          <w:kern w:val="0"/>
          <w:sz w:val="28"/>
          <w:szCs w:val="28"/>
        </w:rPr>
        <w:t>四、评审标准</w:t>
      </w:r>
    </w:p>
    <w:p>
      <w:pPr>
        <w:spacing w:line="240" w:lineRule="atLeast"/>
        <w:jc w:val="center"/>
        <w:rPr>
          <w:rFonts w:ascii="宋体" w:hAnsi="宋体" w:cs="宋体"/>
          <w:kern w:val="0"/>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p>
      <w:pPr>
        <w:spacing w:line="240" w:lineRule="atLeast"/>
        <w:jc w:val="center"/>
        <w:rPr>
          <w:rFonts w:ascii="宋体" w:hAnsi="宋体" w:cs="宋体"/>
          <w:kern w:val="0"/>
        </w:rPr>
      </w:pP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4586"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供应商名称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left"/>
        <w:rPr>
          <w:rFonts w:ascii="宋体" w:hAnsi="宋体" w:cs="宋体"/>
          <w:b/>
          <w:bCs/>
          <w:kern w:val="0"/>
          <w:sz w:val="28"/>
          <w:szCs w:val="28"/>
        </w:rPr>
      </w:pPr>
    </w:p>
    <w:p>
      <w:pPr>
        <w:jc w:val="left"/>
        <w:rPr>
          <w:rFonts w:ascii="宋体" w:hAnsi="宋体" w:cs="宋体"/>
          <w:b/>
          <w:bCs/>
          <w:kern w:val="0"/>
          <w:sz w:val="28"/>
          <w:szCs w:val="28"/>
        </w:rPr>
      </w:pPr>
    </w:p>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76"/>
        <w:gridCol w:w="85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5" w:type="dxa"/>
            <w:vAlign w:val="center"/>
          </w:tcPr>
          <w:p>
            <w:pPr>
              <w:snapToGrid w:val="0"/>
              <w:spacing w:line="400" w:lineRule="exact"/>
              <w:jc w:val="center"/>
              <w:rPr>
                <w:rFonts w:hAnsi="宋体" w:cs="宋体"/>
                <w:sz w:val="24"/>
                <w:szCs w:val="28"/>
              </w:rPr>
            </w:pPr>
            <w:r>
              <w:rPr>
                <w:rFonts w:hint="eastAsia" w:hAnsi="宋体" w:cs="宋体"/>
                <w:sz w:val="24"/>
                <w:szCs w:val="28"/>
              </w:rPr>
              <w:t>内容</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评审因素</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分值</w:t>
            </w:r>
          </w:p>
        </w:tc>
        <w:tc>
          <w:tcPr>
            <w:tcW w:w="6923" w:type="dxa"/>
            <w:vAlign w:val="center"/>
          </w:tcPr>
          <w:p>
            <w:pPr>
              <w:snapToGrid w:val="0"/>
              <w:spacing w:line="400" w:lineRule="exact"/>
              <w:jc w:val="center"/>
              <w:rPr>
                <w:rFonts w:hAnsi="宋体" w:cs="宋体"/>
                <w:sz w:val="24"/>
                <w:szCs w:val="28"/>
              </w:rPr>
            </w:pPr>
            <w:r>
              <w:rPr>
                <w:rFonts w:hint="eastAsia" w:hAnsi="宋体" w:cs="宋体"/>
                <w:sz w:val="24"/>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45" w:type="dxa"/>
            <w:vMerge w:val="restart"/>
            <w:vAlign w:val="center"/>
          </w:tcPr>
          <w:p>
            <w:pPr>
              <w:snapToGrid w:val="0"/>
              <w:spacing w:line="400" w:lineRule="exact"/>
              <w:jc w:val="center"/>
              <w:rPr>
                <w:rFonts w:hAnsi="宋体" w:cs="宋体"/>
                <w:sz w:val="24"/>
                <w:szCs w:val="28"/>
              </w:rPr>
            </w:pPr>
            <w:r>
              <w:rPr>
                <w:rFonts w:hint="eastAsia" w:hAnsi="宋体" w:cs="宋体"/>
                <w:sz w:val="24"/>
                <w:szCs w:val="28"/>
              </w:rPr>
              <w:t>商</w:t>
            </w:r>
          </w:p>
          <w:p>
            <w:pPr>
              <w:snapToGrid w:val="0"/>
              <w:spacing w:line="400" w:lineRule="exact"/>
              <w:jc w:val="center"/>
              <w:rPr>
                <w:rFonts w:hAnsi="宋体" w:cs="宋体"/>
                <w:sz w:val="24"/>
                <w:szCs w:val="28"/>
              </w:rPr>
            </w:pPr>
            <w:r>
              <w:rPr>
                <w:rFonts w:hint="eastAsia" w:hAnsi="宋体" w:cs="宋体"/>
                <w:sz w:val="24"/>
                <w:szCs w:val="28"/>
              </w:rPr>
              <w:t>务</w:t>
            </w:r>
          </w:p>
          <w:p>
            <w:pPr>
              <w:snapToGrid w:val="0"/>
              <w:spacing w:line="400" w:lineRule="exact"/>
              <w:jc w:val="center"/>
              <w:rPr>
                <w:rFonts w:hAnsi="宋体" w:cs="宋体"/>
                <w:sz w:val="24"/>
                <w:szCs w:val="28"/>
              </w:rPr>
            </w:pPr>
            <w:r>
              <w:rPr>
                <w:rFonts w:hint="eastAsia" w:hAnsi="宋体" w:cs="宋体"/>
                <w:sz w:val="24"/>
                <w:szCs w:val="28"/>
              </w:rPr>
              <w:t>评</w:t>
            </w:r>
          </w:p>
          <w:p>
            <w:pPr>
              <w:snapToGrid w:val="0"/>
              <w:spacing w:line="400" w:lineRule="exact"/>
              <w:jc w:val="center"/>
              <w:rPr>
                <w:rFonts w:hAnsi="宋体" w:cs="宋体"/>
                <w:sz w:val="24"/>
                <w:szCs w:val="28"/>
              </w:rPr>
            </w:pPr>
            <w:r>
              <w:rPr>
                <w:rFonts w:hint="eastAsia" w:hAnsi="宋体" w:cs="宋体"/>
                <w:sz w:val="24"/>
                <w:szCs w:val="28"/>
              </w:rPr>
              <w:t>审（30分）</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响应文件</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3</w:t>
            </w:r>
          </w:p>
        </w:tc>
        <w:tc>
          <w:tcPr>
            <w:tcW w:w="6923" w:type="dxa"/>
            <w:vAlign w:val="center"/>
          </w:tcPr>
          <w:p>
            <w:pPr>
              <w:pStyle w:val="9"/>
              <w:rPr>
                <w:szCs w:val="28"/>
              </w:rPr>
            </w:pPr>
            <w:r>
              <w:rPr>
                <w:rFonts w:hint="eastAsia"/>
                <w:szCs w:val="28"/>
              </w:rPr>
              <w:t>响应文件规范合理，符合要求，有连续页码及目录，排版清晰明了得3分，否则不得分。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类似业绩</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12</w:t>
            </w:r>
          </w:p>
        </w:tc>
        <w:tc>
          <w:tcPr>
            <w:tcW w:w="6923" w:type="dxa"/>
            <w:vAlign w:val="center"/>
          </w:tcPr>
          <w:p>
            <w:pPr>
              <w:pStyle w:val="9"/>
              <w:rPr>
                <w:szCs w:val="28"/>
                <w:highlight w:val="yellow"/>
              </w:rPr>
            </w:pPr>
            <w:r>
              <w:rPr>
                <w:rFonts w:hint="eastAsia"/>
                <w:szCs w:val="28"/>
                <w:highlight w:val="yellow"/>
              </w:rPr>
              <w:t>供应商近3年（以合同签订时间为准）已完成或在服务的同类项目业绩，每提供一个得4分.提供合同等有效证明材料（能完全反映上述考核内容）复印件并加盖公章。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厂家支持</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9</w:t>
            </w:r>
          </w:p>
        </w:tc>
        <w:tc>
          <w:tcPr>
            <w:tcW w:w="6923" w:type="dxa"/>
            <w:vAlign w:val="center"/>
          </w:tcPr>
          <w:p>
            <w:pPr>
              <w:pStyle w:val="9"/>
              <w:rPr>
                <w:szCs w:val="28"/>
              </w:rPr>
            </w:pPr>
            <w:r>
              <w:rPr>
                <w:rFonts w:hint="eastAsia"/>
                <w:szCs w:val="28"/>
              </w:rPr>
              <w:t>供应商提供有星号参数的设备的厂家技术支持承诺函。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经营管理</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6</w:t>
            </w:r>
          </w:p>
        </w:tc>
        <w:tc>
          <w:tcPr>
            <w:tcW w:w="6923" w:type="dxa"/>
            <w:vAlign w:val="center"/>
          </w:tcPr>
          <w:p>
            <w:pPr>
              <w:pStyle w:val="9"/>
              <w:rPr>
                <w:szCs w:val="28"/>
              </w:rPr>
            </w:pPr>
            <w:r>
              <w:rPr>
                <w:rFonts w:hint="eastAsia"/>
                <w:szCs w:val="28"/>
              </w:rPr>
              <w:t>供应商具有健全，规范的管理组织、项目实施规范和制度得6分。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5" w:type="dxa"/>
            <w:vMerge w:val="restart"/>
            <w:vAlign w:val="center"/>
          </w:tcPr>
          <w:p>
            <w:pPr>
              <w:snapToGrid w:val="0"/>
              <w:spacing w:line="400" w:lineRule="exact"/>
              <w:jc w:val="center"/>
              <w:rPr>
                <w:rFonts w:hAnsi="宋体" w:cs="宋体"/>
                <w:sz w:val="24"/>
                <w:szCs w:val="28"/>
              </w:rPr>
            </w:pPr>
            <w:r>
              <w:rPr>
                <w:rFonts w:hint="eastAsia" w:hAnsi="宋体" w:cs="宋体"/>
                <w:sz w:val="24"/>
                <w:szCs w:val="28"/>
              </w:rPr>
              <w:t>技</w:t>
            </w:r>
          </w:p>
          <w:p>
            <w:pPr>
              <w:snapToGrid w:val="0"/>
              <w:spacing w:line="400" w:lineRule="exact"/>
              <w:jc w:val="center"/>
              <w:rPr>
                <w:rFonts w:hAnsi="宋体" w:cs="宋体"/>
                <w:sz w:val="24"/>
                <w:szCs w:val="28"/>
              </w:rPr>
            </w:pPr>
            <w:r>
              <w:rPr>
                <w:rFonts w:hint="eastAsia" w:hAnsi="宋体" w:cs="宋体"/>
                <w:sz w:val="24"/>
                <w:szCs w:val="28"/>
              </w:rPr>
              <w:t>术</w:t>
            </w:r>
          </w:p>
          <w:p>
            <w:pPr>
              <w:snapToGrid w:val="0"/>
              <w:spacing w:line="400" w:lineRule="exact"/>
              <w:jc w:val="center"/>
              <w:rPr>
                <w:rFonts w:hAnsi="宋体" w:cs="宋体"/>
                <w:sz w:val="24"/>
                <w:szCs w:val="28"/>
              </w:rPr>
            </w:pPr>
            <w:r>
              <w:rPr>
                <w:rFonts w:hint="eastAsia" w:hAnsi="宋体" w:cs="宋体"/>
                <w:sz w:val="24"/>
                <w:szCs w:val="28"/>
              </w:rPr>
              <w:t>评</w:t>
            </w:r>
          </w:p>
          <w:p>
            <w:pPr>
              <w:snapToGrid w:val="0"/>
              <w:spacing w:line="400" w:lineRule="exact"/>
              <w:jc w:val="center"/>
              <w:rPr>
                <w:rFonts w:hAnsi="宋体" w:cs="宋体"/>
                <w:sz w:val="24"/>
                <w:szCs w:val="28"/>
              </w:rPr>
            </w:pPr>
            <w:r>
              <w:rPr>
                <w:rFonts w:hint="eastAsia" w:hAnsi="宋体" w:cs="宋体"/>
                <w:sz w:val="24"/>
                <w:szCs w:val="28"/>
              </w:rPr>
              <w:t>审</w:t>
            </w:r>
          </w:p>
          <w:p>
            <w:pPr>
              <w:snapToGrid w:val="0"/>
              <w:spacing w:line="400" w:lineRule="exact"/>
              <w:jc w:val="center"/>
              <w:rPr>
                <w:rFonts w:hAnsi="宋体" w:cs="宋体"/>
                <w:sz w:val="24"/>
                <w:szCs w:val="28"/>
              </w:rPr>
            </w:pPr>
            <w:r>
              <w:rPr>
                <w:rFonts w:hint="eastAsia" w:hAnsi="宋体" w:cs="宋体"/>
                <w:sz w:val="24"/>
                <w:szCs w:val="28"/>
              </w:rPr>
              <w:t>（50分）</w:t>
            </w:r>
          </w:p>
        </w:tc>
        <w:tc>
          <w:tcPr>
            <w:tcW w:w="1276" w:type="dxa"/>
            <w:vAlign w:val="center"/>
          </w:tcPr>
          <w:p>
            <w:pPr>
              <w:pStyle w:val="9"/>
              <w:jc w:val="center"/>
              <w:rPr>
                <w:rFonts w:ascii="Calibri"/>
                <w:kern w:val="2"/>
                <w:szCs w:val="28"/>
              </w:rPr>
            </w:pPr>
            <w:r>
              <w:rPr>
                <w:rFonts w:hint="eastAsia" w:ascii="Calibri"/>
                <w:kern w:val="2"/>
                <w:szCs w:val="28"/>
              </w:rPr>
              <w:t>技术响应</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10</w:t>
            </w:r>
          </w:p>
        </w:tc>
        <w:tc>
          <w:tcPr>
            <w:tcW w:w="6923" w:type="dxa"/>
            <w:vAlign w:val="center"/>
          </w:tcPr>
          <w:p>
            <w:pPr>
              <w:pStyle w:val="9"/>
              <w:rPr>
                <w:szCs w:val="28"/>
              </w:rPr>
            </w:pPr>
            <w:r>
              <w:rPr>
                <w:rFonts w:hint="eastAsia"/>
                <w:szCs w:val="28"/>
              </w:rPr>
              <w:t>有一项技术参数负偏离（包括未注明投标货物品牌等），扣5分，扣完为止。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服务方案</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30</w:t>
            </w:r>
          </w:p>
        </w:tc>
        <w:tc>
          <w:tcPr>
            <w:tcW w:w="6923" w:type="dxa"/>
            <w:vAlign w:val="center"/>
          </w:tcPr>
          <w:p>
            <w:pPr>
              <w:pStyle w:val="9"/>
              <w:rPr>
                <w:szCs w:val="28"/>
              </w:rPr>
            </w:pPr>
            <w:r>
              <w:rPr>
                <w:rFonts w:hint="eastAsia"/>
                <w:szCs w:val="28"/>
              </w:rPr>
              <w:t>项目期间提供切实可行的维修服务，</w:t>
            </w:r>
            <w:r>
              <w:rPr>
                <w:rFonts w:hint="eastAsia"/>
                <w:szCs w:val="28"/>
                <w:highlight w:val="cyan"/>
              </w:rPr>
              <w:t>详细描述服务方案并提供确保方案落实的承诺函，承诺函加盖公章。</w:t>
            </w:r>
            <w:r>
              <w:rPr>
                <w:rFonts w:hint="eastAsia"/>
                <w:szCs w:val="28"/>
              </w:rPr>
              <w:t>评审小组根据供应商提供的方案和承诺书进行综合评审，</w:t>
            </w:r>
            <w:r>
              <w:rPr>
                <w:rFonts w:hint="eastAsia"/>
                <w:szCs w:val="28"/>
                <w:highlight w:val="cyan"/>
              </w:rPr>
              <w:t>第一名得30分，第二名得20分，第三名及以下的，根据其方案描述与项目的相关性打分，最多10分，方案描述与项目无关的，不得分。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45" w:type="dxa"/>
            <w:vMerge w:val="continue"/>
            <w:vAlign w:val="center"/>
          </w:tcPr>
          <w:p>
            <w:pPr>
              <w:snapToGrid w:val="0"/>
              <w:spacing w:line="400" w:lineRule="exact"/>
              <w:jc w:val="center"/>
              <w:rPr>
                <w:rFonts w:hAnsi="宋体" w:cs="宋体"/>
                <w:sz w:val="24"/>
                <w:szCs w:val="28"/>
              </w:rPr>
            </w:pPr>
          </w:p>
        </w:tc>
        <w:tc>
          <w:tcPr>
            <w:tcW w:w="1276" w:type="dxa"/>
            <w:vAlign w:val="center"/>
          </w:tcPr>
          <w:p>
            <w:pPr>
              <w:pStyle w:val="9"/>
              <w:jc w:val="center"/>
              <w:rPr>
                <w:rFonts w:ascii="Calibri"/>
                <w:kern w:val="2"/>
                <w:szCs w:val="28"/>
              </w:rPr>
            </w:pPr>
            <w:r>
              <w:rPr>
                <w:rFonts w:hint="eastAsia" w:ascii="Calibri"/>
                <w:kern w:val="2"/>
                <w:szCs w:val="28"/>
              </w:rPr>
              <w:t>故障响应</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10</w:t>
            </w:r>
          </w:p>
        </w:tc>
        <w:tc>
          <w:tcPr>
            <w:tcW w:w="6923" w:type="dxa"/>
            <w:vAlign w:val="center"/>
          </w:tcPr>
          <w:p>
            <w:pPr>
              <w:pStyle w:val="9"/>
              <w:rPr>
                <w:szCs w:val="28"/>
              </w:rPr>
            </w:pPr>
            <w:r>
              <w:rPr>
                <w:rFonts w:hint="eastAsia"/>
                <w:szCs w:val="28"/>
                <w:highlight w:val="cyan"/>
              </w:rPr>
              <w:t>评审小组根据供应商的故障响应能力（措施和响应时间等）以及加盖供应商公章的承诺函进行综合评审，</w:t>
            </w:r>
            <w:r>
              <w:rPr>
                <w:rFonts w:hint="eastAsia"/>
                <w:szCs w:val="28"/>
              </w:rPr>
              <w:t>第一名得10分，第二名得6分，第三名得2分，其余不得分。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45" w:type="dxa"/>
            <w:vAlign w:val="center"/>
          </w:tcPr>
          <w:p>
            <w:pPr>
              <w:jc w:val="center"/>
              <w:rPr>
                <w:rFonts w:hAnsi="宋体" w:cs="宋体"/>
                <w:sz w:val="24"/>
                <w:szCs w:val="28"/>
              </w:rPr>
            </w:pPr>
            <w:r>
              <w:rPr>
                <w:rFonts w:hint="eastAsia" w:hAnsi="宋体" w:cs="宋体"/>
                <w:sz w:val="24"/>
                <w:szCs w:val="28"/>
              </w:rPr>
              <w:t>价</w:t>
            </w:r>
          </w:p>
          <w:p>
            <w:pPr>
              <w:jc w:val="center"/>
              <w:rPr>
                <w:rFonts w:hAnsi="宋体" w:cs="宋体"/>
                <w:sz w:val="24"/>
                <w:szCs w:val="28"/>
              </w:rPr>
            </w:pPr>
            <w:r>
              <w:rPr>
                <w:rFonts w:hint="eastAsia" w:hAnsi="宋体" w:cs="宋体"/>
                <w:sz w:val="24"/>
                <w:szCs w:val="28"/>
              </w:rPr>
              <w:t>格</w:t>
            </w:r>
          </w:p>
          <w:p>
            <w:pPr>
              <w:jc w:val="center"/>
              <w:rPr>
                <w:rFonts w:hAnsi="宋体" w:cs="宋体"/>
                <w:sz w:val="24"/>
                <w:szCs w:val="28"/>
              </w:rPr>
            </w:pPr>
            <w:r>
              <w:rPr>
                <w:rFonts w:hint="eastAsia" w:hAnsi="宋体" w:cs="宋体"/>
                <w:sz w:val="24"/>
                <w:szCs w:val="28"/>
              </w:rPr>
              <w:t>评</w:t>
            </w:r>
          </w:p>
          <w:p>
            <w:pPr>
              <w:jc w:val="center"/>
              <w:rPr>
                <w:rFonts w:hAnsi="宋体" w:cs="宋体"/>
                <w:sz w:val="24"/>
                <w:szCs w:val="28"/>
              </w:rPr>
            </w:pPr>
            <w:r>
              <w:rPr>
                <w:rFonts w:hint="eastAsia" w:hAnsi="宋体" w:cs="宋体"/>
                <w:sz w:val="24"/>
                <w:szCs w:val="28"/>
              </w:rPr>
              <w:t>审</w:t>
            </w:r>
          </w:p>
          <w:p>
            <w:pPr>
              <w:rPr>
                <w:rFonts w:hAnsi="宋体" w:cs="宋体"/>
                <w:sz w:val="24"/>
                <w:szCs w:val="28"/>
              </w:rPr>
            </w:pPr>
            <w:r>
              <w:rPr>
                <w:rFonts w:hint="eastAsia" w:hAnsi="宋体" w:cs="宋体"/>
                <w:sz w:val="24"/>
                <w:szCs w:val="28"/>
              </w:rPr>
              <w:t>（20分）</w:t>
            </w:r>
          </w:p>
        </w:tc>
        <w:tc>
          <w:tcPr>
            <w:tcW w:w="1276" w:type="dxa"/>
            <w:vAlign w:val="center"/>
          </w:tcPr>
          <w:p>
            <w:pPr>
              <w:snapToGrid w:val="0"/>
              <w:spacing w:line="400" w:lineRule="exact"/>
              <w:jc w:val="center"/>
              <w:rPr>
                <w:rFonts w:hAnsi="宋体" w:cs="宋体"/>
                <w:sz w:val="24"/>
                <w:szCs w:val="28"/>
              </w:rPr>
            </w:pPr>
            <w:r>
              <w:rPr>
                <w:rFonts w:hint="eastAsia" w:hAnsi="宋体" w:cs="宋体"/>
                <w:sz w:val="24"/>
                <w:szCs w:val="28"/>
              </w:rPr>
              <w:t>报价</w:t>
            </w:r>
          </w:p>
        </w:tc>
        <w:tc>
          <w:tcPr>
            <w:tcW w:w="851" w:type="dxa"/>
            <w:vAlign w:val="center"/>
          </w:tcPr>
          <w:p>
            <w:pPr>
              <w:snapToGrid w:val="0"/>
              <w:spacing w:line="400" w:lineRule="exact"/>
              <w:jc w:val="center"/>
              <w:rPr>
                <w:rFonts w:hAnsi="宋体" w:cs="宋体"/>
                <w:sz w:val="24"/>
                <w:szCs w:val="28"/>
              </w:rPr>
            </w:pPr>
            <w:r>
              <w:rPr>
                <w:rFonts w:hint="eastAsia" w:hAnsi="宋体" w:cs="宋体"/>
                <w:sz w:val="24"/>
                <w:szCs w:val="28"/>
              </w:rPr>
              <w:t>20</w:t>
            </w:r>
          </w:p>
        </w:tc>
        <w:tc>
          <w:tcPr>
            <w:tcW w:w="6923" w:type="dxa"/>
            <w:vAlign w:val="center"/>
          </w:tcPr>
          <w:p>
            <w:pPr>
              <w:snapToGrid w:val="0"/>
              <w:ind w:firstLine="470" w:firstLineChars="196"/>
              <w:rPr>
                <w:rFonts w:hAnsi="宋体"/>
                <w:sz w:val="24"/>
                <w:szCs w:val="28"/>
              </w:rPr>
            </w:pPr>
            <w:r>
              <w:rPr>
                <w:rFonts w:hint="eastAsia" w:hAnsi="宋体"/>
                <w:sz w:val="24"/>
                <w:szCs w:val="28"/>
                <w:highlight w:val="cyan"/>
              </w:rPr>
              <w:t>评审小组只对资格和符合性审查合格的响应文件进行价格评议，报价评分采用平均价计算，即满足评审文件要求且最后所有供应商价格的平均值为评审基准价。（每高、低于评标基准价</w:t>
            </w:r>
            <w:r>
              <w:rPr>
                <w:rFonts w:hint="eastAsia" w:hAnsi="宋体"/>
                <w:color w:val="FF0000"/>
                <w:sz w:val="24"/>
                <w:szCs w:val="28"/>
                <w:highlight w:val="cyan"/>
              </w:rPr>
              <w:t>1%扣除0.3分）</w:t>
            </w:r>
          </w:p>
        </w:tc>
      </w:tr>
    </w:tbl>
    <w:p>
      <w:pPr>
        <w:jc w:val="left"/>
        <w:rPr>
          <w:rFonts w:ascii="宋体" w:hAnsi="宋体" w:cs="宋体"/>
          <w:b/>
          <w:bCs/>
          <w:kern w:val="0"/>
          <w:sz w:val="28"/>
          <w:szCs w:val="28"/>
        </w:rPr>
      </w:pPr>
    </w:p>
    <w:p>
      <w:pPr>
        <w:jc w:val="left"/>
        <w:rPr>
          <w:rFonts w:ascii="宋体" w:hAnsi="宋体" w:cs="宋体"/>
          <w:b/>
          <w:bCs/>
          <w:kern w:val="0"/>
          <w:sz w:val="28"/>
          <w:szCs w:val="28"/>
        </w:rPr>
      </w:pPr>
    </w:p>
    <w:p>
      <w:pPr>
        <w:jc w:val="left"/>
        <w:rPr>
          <w:rFonts w:ascii="宋体" w:cs="Times New Roman"/>
          <w:b/>
          <w:bCs/>
          <w:color w:val="FF0000"/>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color w:val="FF0000"/>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60"/>
      <w:bookmarkStart w:id="2" w:name="_Toc456291165"/>
      <w:bookmarkStart w:id="3" w:name="_Toc456291354"/>
      <w:bookmarkStart w:id="4" w:name="_Toc456291280"/>
      <w:bookmarkStart w:id="5" w:name="_Toc456291479"/>
      <w:bookmarkStart w:id="6" w:name="_Toc462487372"/>
      <w:bookmarkStart w:id="7" w:name="_Toc456291537"/>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pPr>
        <w:spacing w:line="360" w:lineRule="auto"/>
        <w:jc w:val="righ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pPr>
        <w:pStyle w:val="28"/>
        <w:adjustRightInd w:val="0"/>
        <w:snapToGrid w:val="0"/>
        <w:spacing w:line="500" w:lineRule="exact"/>
        <w:rPr>
          <w:rFonts w:ascii="宋体" w:hAnsi="宋体"/>
          <w:szCs w:val="28"/>
        </w:rPr>
      </w:pP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pPr>
        <w:pStyle w:val="28"/>
        <w:spacing w:line="500" w:lineRule="exact"/>
        <w:ind w:left="1604" w:leftChars="255" w:hanging="1069" w:hangingChars="382"/>
        <w:rPr>
          <w:rFonts w:ascii="宋体" w:hAnsi="宋体"/>
        </w:rPr>
      </w:pPr>
      <w:r>
        <w:rPr>
          <w:rFonts w:hint="eastAsia" w:ascii="宋体" w:hAnsi="宋体"/>
        </w:rPr>
        <w:t>签发日期：年月日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微软雅黑"/>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FhYTFiYjNhZDc2ZDZlNzdkNTVhYWVmODA2NzFlNTAifQ=="/>
  </w:docVars>
  <w:rsids>
    <w:rsidRoot w:val="00D3588F"/>
    <w:rsid w:val="00002DB5"/>
    <w:rsid w:val="0000387A"/>
    <w:rsid w:val="00007904"/>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6F7E"/>
    <w:rsid w:val="000A76EB"/>
    <w:rsid w:val="000B3D35"/>
    <w:rsid w:val="000B43F2"/>
    <w:rsid w:val="000C225C"/>
    <w:rsid w:val="000C307B"/>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1CF2"/>
    <w:rsid w:val="00A4389D"/>
    <w:rsid w:val="00A67374"/>
    <w:rsid w:val="00A7195B"/>
    <w:rsid w:val="00A7245A"/>
    <w:rsid w:val="00A757F9"/>
    <w:rsid w:val="00A91741"/>
    <w:rsid w:val="00A9303E"/>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CE8"/>
    <w:rsid w:val="00D31DB8"/>
    <w:rsid w:val="00D351DF"/>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648DA"/>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0FF694C"/>
    <w:rsid w:val="019E6E57"/>
    <w:rsid w:val="075B122C"/>
    <w:rsid w:val="0CE20BF4"/>
    <w:rsid w:val="15C4477B"/>
    <w:rsid w:val="250400C0"/>
    <w:rsid w:val="2D1D7551"/>
    <w:rsid w:val="2D3570C0"/>
    <w:rsid w:val="2DF24F3B"/>
    <w:rsid w:val="3BE943FD"/>
    <w:rsid w:val="3E3574EB"/>
    <w:rsid w:val="43283447"/>
    <w:rsid w:val="66834659"/>
    <w:rsid w:val="6F445F6A"/>
    <w:rsid w:val="738D1B3D"/>
    <w:rsid w:val="775F2B6D"/>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autoRedefine/>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autoRedefine/>
    <w:qFormat/>
    <w:uiPriority w:val="99"/>
    <w:rPr>
      <w:rFonts w:ascii="宋体" w:hAnsi="宋体" w:eastAsia="宋体" w:cs="宋体"/>
      <w:color w:val="000000"/>
      <w:sz w:val="20"/>
      <w:szCs w:val="20"/>
      <w:u w:val="none"/>
    </w:rPr>
  </w:style>
  <w:style w:type="character" w:customStyle="1" w:styleId="23">
    <w:name w:val="纯文本 Char"/>
    <w:link w:val="5"/>
    <w:autoRedefine/>
    <w:qFormat/>
    <w:uiPriority w:val="0"/>
    <w:rPr>
      <w:rFonts w:ascii="宋体" w:hAnsi="Courier New" w:cs="Courier New"/>
      <w:kern w:val="2"/>
      <w:sz w:val="21"/>
      <w:szCs w:val="21"/>
    </w:rPr>
  </w:style>
  <w:style w:type="character" w:customStyle="1" w:styleId="24">
    <w:name w:val="标题 1 Char"/>
    <w:link w:val="2"/>
    <w:autoRedefine/>
    <w:qFormat/>
    <w:uiPriority w:val="0"/>
    <w:rPr>
      <w:rFonts w:cs="Calibri"/>
      <w:b/>
      <w:bCs/>
      <w:kern w:val="44"/>
      <w:sz w:val="44"/>
      <w:szCs w:val="44"/>
    </w:rPr>
  </w:style>
  <w:style w:type="paragraph" w:customStyle="1" w:styleId="25">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autoRedefine/>
    <w:qFormat/>
    <w:uiPriority w:val="99"/>
    <w:rPr>
      <w:kern w:val="2"/>
      <w:sz w:val="21"/>
      <w:szCs w:val="21"/>
    </w:rPr>
  </w:style>
  <w:style w:type="character" w:customStyle="1" w:styleId="31">
    <w:name w:val="font11"/>
    <w:basedOn w:val="1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9F93-60F6-4907-B16E-586298CA94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923</Words>
  <Characters>5263</Characters>
  <Lines>43</Lines>
  <Paragraphs>12</Paragraphs>
  <TotalTime>1</TotalTime>
  <ScaleCrop>false</ScaleCrop>
  <LinksUpToDate>false</LinksUpToDate>
  <CharactersWithSpaces>6174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2021-01-28T04:01:00Z</dcterms:created>
  <dc:creator>dell</dc:creator>
  <cp:lastModifiedBy>高其瑞</cp:lastModifiedBy>
  <cp:lastPrinted>2022-08-05T08:47:00Z</cp:lastPrinted>
  <dcterms:modified xsi:type="dcterms:W3CDTF">2024-02-18T02:30:14Z</dcterms:modified>
  <dc:title>宜昌市中心人民医院</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E7DC60BDE5B04F87A6532133B743A37A_12</vt:lpwstr>
  </property>
</Properties>
</file>