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宜昌市中心人民医院对伍家院区8号楼报告厅采购座椅椅套项目进行院内采购，欢迎广大符合条件的投标人踊跃投标。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YCZXYYZB-2024-A2014</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bookmarkStart w:id="8" w:name="_GoBack"/>
      <w:r>
        <w:rPr>
          <w:rFonts w:hint="eastAsia"/>
          <w:sz w:val="28"/>
          <w:szCs w:val="28"/>
        </w:rPr>
        <w:t>伍家院区8号楼报告厅采购座椅椅套项目</w:t>
      </w:r>
      <w:bookmarkEnd w:id="8"/>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26</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投标地点：宜昌市中心人民医院招标管理办公室伍家院区9号楼312房间（工作日上午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闫老师</w:t>
      </w:r>
    </w:p>
    <w:p>
      <w:pPr>
        <w:ind w:firstLine="560" w:firstLineChars="200"/>
        <w:jc w:val="left"/>
        <w:rPr>
          <w:rFonts w:ascii="宋体" w:hAnsi="宋体" w:cs="宋体"/>
          <w:kern w:val="0"/>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 xml:space="preserve">/0717-6486583 </w:t>
      </w:r>
      <w:r>
        <w:rPr>
          <w:rFonts w:hint="eastAsia" w:ascii="宋体" w:hAnsi="宋体" w:cs="宋体"/>
          <w:kern w:val="0"/>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YCZXYYZB-2024-A2014</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伍家院区8号楼报告厅采购座椅椅套项目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、项目预算：35200.00元，超过此价格为无效投标。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宜昌市中心人民医院伍家院区8号楼（综合楼）三楼学术报告厅、二楼国际会议厅需配置会议座椅椅套400套。</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Cs/>
          <w:color w:val="FF0000"/>
          <w:kern w:val="0"/>
          <w:sz w:val="28"/>
          <w:szCs w:val="28"/>
        </w:rPr>
      </w:pP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559" w:type="dxa"/>
        <w:tblInd w:w="-459" w:type="dxa"/>
        <w:tblLayout w:type="autofit"/>
        <w:tblCellMar>
          <w:top w:w="0" w:type="dxa"/>
          <w:left w:w="108" w:type="dxa"/>
          <w:bottom w:w="0" w:type="dxa"/>
          <w:right w:w="108" w:type="dxa"/>
        </w:tblCellMar>
      </w:tblPr>
      <w:tblGrid>
        <w:gridCol w:w="1276"/>
        <w:gridCol w:w="3384"/>
        <w:gridCol w:w="1659"/>
        <w:gridCol w:w="1330"/>
        <w:gridCol w:w="1910"/>
      </w:tblGrid>
      <w:tr>
        <w:tblPrEx>
          <w:tblCellMar>
            <w:top w:w="0" w:type="dxa"/>
            <w:left w:w="108" w:type="dxa"/>
            <w:bottom w:w="0" w:type="dxa"/>
            <w:right w:w="108" w:type="dxa"/>
          </w:tblCellMar>
        </w:tblPrEx>
        <w:trPr>
          <w:trHeight w:val="439" w:hRule="atLeast"/>
        </w:trPr>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38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384"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椅子靠背套</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Ansi="宋体"/>
                <w:spacing w:val="2"/>
                <w:sz w:val="28"/>
                <w:szCs w:val="28"/>
              </w:rPr>
              <w:t>个</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400</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r>
              <w:rPr>
                <w:rFonts w:hAnsi="宋体"/>
                <w:spacing w:val="2"/>
                <w:sz w:val="28"/>
                <w:szCs w:val="28"/>
              </w:rPr>
              <w:drawing>
                <wp:inline distT="0" distB="0" distL="114300" distR="114300">
                  <wp:extent cx="533400" cy="752475"/>
                  <wp:effectExtent l="0" t="0" r="0" b="9525"/>
                  <wp:docPr id="1" name="图片 1" descr="6bda37f0ba76bb2be7d8fd6df045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da37f0ba76bb2be7d8fd6df045e90"/>
                          <pic:cNvPicPr>
                            <a:picLocks noChangeAspect="1"/>
                          </pic:cNvPicPr>
                        </pic:nvPicPr>
                        <pic:blipFill>
                          <a:blip r:embed="rId4"/>
                          <a:stretch>
                            <a:fillRect/>
                          </a:stretch>
                        </pic:blipFill>
                        <pic:spPr>
                          <a:xfrm>
                            <a:off x="0" y="0"/>
                            <a:ext cx="533400" cy="75247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384"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椅子坐垫套</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Ansi="宋体"/>
                <w:spacing w:val="2"/>
                <w:sz w:val="28"/>
                <w:szCs w:val="28"/>
              </w:rPr>
              <w:t>个</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400</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r>
              <w:rPr>
                <w:rFonts w:hAnsi="宋体"/>
                <w:spacing w:val="2"/>
                <w:sz w:val="28"/>
                <w:szCs w:val="28"/>
              </w:rPr>
              <w:drawing>
                <wp:inline distT="0" distB="0" distL="114300" distR="114300">
                  <wp:extent cx="571500" cy="752475"/>
                  <wp:effectExtent l="0" t="0" r="0" b="9525"/>
                  <wp:docPr id="2" name="图片 2" descr="70f992116061e16cdc36407434cc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f992116061e16cdc36407434cc0fc"/>
                          <pic:cNvPicPr>
                            <a:picLocks noChangeAspect="1"/>
                          </pic:cNvPicPr>
                        </pic:nvPicPr>
                        <pic:blipFill>
                          <a:blip r:embed="rId5"/>
                          <a:stretch>
                            <a:fillRect/>
                          </a:stretch>
                        </pic:blipFill>
                        <pic:spPr>
                          <a:xfrm>
                            <a:off x="0" y="0"/>
                            <a:ext cx="571500" cy="752475"/>
                          </a:xfrm>
                          <a:prstGeom prst="rect">
                            <a:avLst/>
                          </a:prstGeom>
                          <a:noFill/>
                          <a:ln>
                            <a:noFill/>
                          </a:ln>
                        </pic:spPr>
                      </pic:pic>
                    </a:graphicData>
                  </a:graphic>
                </wp:inline>
              </w:drawing>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639" w:type="dxa"/>
        <w:tblInd w:w="-459" w:type="dxa"/>
        <w:tblLayout w:type="autofit"/>
        <w:tblCellMar>
          <w:top w:w="0" w:type="dxa"/>
          <w:left w:w="108" w:type="dxa"/>
          <w:bottom w:w="0" w:type="dxa"/>
          <w:right w:w="108" w:type="dxa"/>
        </w:tblCellMar>
      </w:tblPr>
      <w:tblGrid>
        <w:gridCol w:w="851"/>
        <w:gridCol w:w="2693"/>
        <w:gridCol w:w="4820"/>
        <w:gridCol w:w="1275"/>
      </w:tblGrid>
      <w:tr>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rPr>
            </w:pPr>
            <w:r>
              <w:rPr>
                <w:rFonts w:hint="eastAsia" w:hAnsi="宋体"/>
                <w:spacing w:val="2"/>
              </w:rPr>
              <w:t>序号</w:t>
            </w:r>
          </w:p>
        </w:tc>
        <w:tc>
          <w:tcPr>
            <w:tcW w:w="2693"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rPr>
            </w:pPr>
            <w:r>
              <w:rPr>
                <w:rFonts w:hint="eastAsia" w:hAnsi="宋体"/>
                <w:spacing w:val="2"/>
              </w:rPr>
              <w:t>货物/服务名称</w:t>
            </w:r>
          </w:p>
        </w:tc>
        <w:tc>
          <w:tcPr>
            <w:tcW w:w="482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rPr>
            </w:pPr>
            <w:r>
              <w:rPr>
                <w:rFonts w:hint="eastAsia" w:hAnsi="宋体"/>
                <w:spacing w:val="2"/>
              </w:rPr>
              <w:t>技术规格参数、服务要求</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rPr>
            </w:pPr>
            <w:r>
              <w:rPr>
                <w:rFonts w:hint="eastAsia" w:hAnsi="宋体"/>
                <w:spacing w:val="2"/>
              </w:rPr>
              <w:t>备注</w:t>
            </w:r>
          </w:p>
        </w:tc>
      </w:tr>
      <w:tr>
        <w:tblPrEx>
          <w:tblCellMar>
            <w:top w:w="0" w:type="dxa"/>
            <w:left w:w="108" w:type="dxa"/>
            <w:bottom w:w="0" w:type="dxa"/>
            <w:right w:w="108" w:type="dxa"/>
          </w:tblCellMar>
        </w:tblPrEx>
        <w:trPr>
          <w:trHeight w:val="1473"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rPr>
            </w:pPr>
            <w:r>
              <w:rPr>
                <w:rFonts w:hint="eastAsia" w:hAnsi="宋体"/>
                <w:spacing w:val="2"/>
              </w:rPr>
              <w:t>1</w:t>
            </w:r>
          </w:p>
        </w:tc>
        <w:tc>
          <w:tcPr>
            <w:tcW w:w="269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rPr>
            </w:pPr>
            <w:r>
              <w:rPr>
                <w:rFonts w:hint="eastAsia" w:hAnsi="宋体"/>
                <w:spacing w:val="2"/>
              </w:rPr>
              <w:t>椅子靠背套（立体）</w:t>
            </w:r>
          </w:p>
          <w:p>
            <w:pPr>
              <w:pStyle w:val="4"/>
              <w:tabs>
                <w:tab w:val="left" w:pos="3300"/>
                <w:tab w:val="left" w:pos="3630"/>
              </w:tabs>
              <w:contextualSpacing/>
              <w:jc w:val="center"/>
              <w:rPr>
                <w:rFonts w:hAnsi="宋体"/>
                <w:spacing w:val="2"/>
              </w:rPr>
            </w:pPr>
            <w:r>
              <w:rPr>
                <w:rFonts w:hAnsi="宋体"/>
                <w:spacing w:val="2"/>
              </w:rPr>
              <w:t>尺寸：450</w:t>
            </w:r>
            <w:r>
              <w:rPr>
                <w:rFonts w:hint="eastAsia" w:hAnsi="宋体"/>
                <w:spacing w:val="2"/>
              </w:rPr>
              <w:t>mm</w:t>
            </w:r>
            <w:r>
              <w:rPr>
                <w:rFonts w:hAnsi="宋体"/>
                <w:spacing w:val="2"/>
              </w:rPr>
              <w:t>*480</w:t>
            </w:r>
            <w:r>
              <w:rPr>
                <w:rFonts w:hint="eastAsia" w:hAnsi="宋体"/>
                <w:spacing w:val="2"/>
              </w:rPr>
              <w:t>mm</w:t>
            </w:r>
            <w:r>
              <w:rPr>
                <w:rFonts w:hAnsi="宋体"/>
                <w:spacing w:val="2"/>
              </w:rPr>
              <w:t>*100</w:t>
            </w:r>
            <w:r>
              <w:rPr>
                <w:rFonts w:hint="eastAsia" w:hAnsi="宋体"/>
                <w:spacing w:val="2"/>
              </w:rPr>
              <w:t>mm</w:t>
            </w:r>
          </w:p>
        </w:tc>
        <w:tc>
          <w:tcPr>
            <w:tcW w:w="4820"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left"/>
              <w:rPr>
                <w:rFonts w:hAnsi="宋体"/>
                <w:spacing w:val="2"/>
              </w:rPr>
            </w:pPr>
            <w:r>
              <w:rPr>
                <w:rFonts w:hint="eastAsia" w:hAnsi="宋体"/>
                <w:spacing w:val="2"/>
              </w:rPr>
              <w:t>采用优质棉麻混纺面料，防静电、防油污、耐磨，耐拉伸。面料符合GB18401-2010&lt;国家纺织产品基本安全技术规范，甲醛含量≤75%，PH值4.0-8.5之间，色牢度≥4级，无异味，面积质量不低于380克/平方。厚度适中，手感好，按椅子尺寸及样式做分体式布套（接缝和固定处为针线缝合，细带、拉链、纽扣及魔术贴），套上后要求要服贴，不起皱，美观。方便拆洗，高温洗后不易变形。布料颜色跟椅子配套。</w:t>
            </w:r>
          </w:p>
        </w:tc>
        <w:tc>
          <w:tcPr>
            <w:tcW w:w="1275" w:type="dxa"/>
            <w:vMerge w:val="restart"/>
            <w:tcBorders>
              <w:top w:val="nil"/>
              <w:left w:val="nil"/>
              <w:right w:val="single" w:color="auto" w:sz="4" w:space="0"/>
            </w:tcBorders>
            <w:shd w:val="clear" w:color="auto" w:fill="auto"/>
            <w:vAlign w:val="center"/>
          </w:tcPr>
          <w:p>
            <w:pPr>
              <w:pStyle w:val="4"/>
              <w:tabs>
                <w:tab w:val="left" w:pos="3300"/>
                <w:tab w:val="left" w:pos="3630"/>
              </w:tabs>
              <w:contextualSpacing/>
              <w:jc w:val="center"/>
              <w:rPr>
                <w:rFonts w:hAnsi="宋体"/>
                <w:spacing w:val="2"/>
              </w:rPr>
            </w:pP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rPr>
            </w:pPr>
            <w:r>
              <w:rPr>
                <w:rFonts w:hint="eastAsia" w:hAnsi="宋体"/>
                <w:spacing w:val="2"/>
              </w:rPr>
              <w:t>2</w:t>
            </w:r>
          </w:p>
        </w:tc>
        <w:tc>
          <w:tcPr>
            <w:tcW w:w="269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rPr>
            </w:pPr>
            <w:r>
              <w:rPr>
                <w:rFonts w:hint="eastAsia" w:hAnsi="宋体"/>
                <w:spacing w:val="2"/>
              </w:rPr>
              <w:t>椅子坐垫套（立体）</w:t>
            </w:r>
          </w:p>
          <w:p>
            <w:pPr>
              <w:pStyle w:val="4"/>
              <w:tabs>
                <w:tab w:val="left" w:pos="3300"/>
                <w:tab w:val="left" w:pos="3630"/>
              </w:tabs>
              <w:contextualSpacing/>
              <w:jc w:val="center"/>
              <w:rPr>
                <w:rFonts w:hAnsi="宋体"/>
                <w:spacing w:val="2"/>
              </w:rPr>
            </w:pPr>
            <w:r>
              <w:rPr>
                <w:rFonts w:hAnsi="宋体"/>
                <w:spacing w:val="2"/>
              </w:rPr>
              <w:t>尺寸：450</w:t>
            </w:r>
            <w:r>
              <w:rPr>
                <w:rFonts w:hint="eastAsia" w:hAnsi="宋体"/>
                <w:spacing w:val="2"/>
              </w:rPr>
              <w:t>mm</w:t>
            </w:r>
            <w:r>
              <w:rPr>
                <w:rFonts w:hAnsi="宋体"/>
                <w:spacing w:val="2"/>
              </w:rPr>
              <w:t>*450</w:t>
            </w:r>
            <w:r>
              <w:rPr>
                <w:rFonts w:hint="eastAsia" w:hAnsi="宋体"/>
                <w:spacing w:val="2"/>
              </w:rPr>
              <w:t>mm</w:t>
            </w:r>
            <w:r>
              <w:rPr>
                <w:rFonts w:hAnsi="宋体"/>
                <w:spacing w:val="2"/>
              </w:rPr>
              <w:t>*150</w:t>
            </w:r>
            <w:r>
              <w:rPr>
                <w:rFonts w:hint="eastAsia" w:hAnsi="宋体"/>
                <w:spacing w:val="2"/>
              </w:rPr>
              <w:t>mm</w:t>
            </w:r>
          </w:p>
          <w:p>
            <w:pPr>
              <w:pStyle w:val="4"/>
              <w:tabs>
                <w:tab w:val="left" w:pos="3300"/>
                <w:tab w:val="left" w:pos="3630"/>
              </w:tabs>
              <w:contextualSpacing/>
              <w:jc w:val="center"/>
              <w:rPr>
                <w:rFonts w:hAnsi="宋体"/>
                <w:spacing w:val="2"/>
              </w:rPr>
            </w:pPr>
            <w:r>
              <w:rPr>
                <w:rFonts w:hint="eastAsia" w:hAnsi="宋体"/>
                <w:spacing w:val="2"/>
              </w:rPr>
              <w:t>+250mm</w:t>
            </w:r>
          </w:p>
        </w:tc>
        <w:tc>
          <w:tcPr>
            <w:tcW w:w="4820"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rPr>
            </w:pPr>
          </w:p>
        </w:tc>
        <w:tc>
          <w:tcPr>
            <w:tcW w:w="1275" w:type="dxa"/>
            <w:vMerge w:val="continue"/>
            <w:tcBorders>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rPr>
            </w:pPr>
          </w:p>
        </w:tc>
      </w:tr>
    </w:tbl>
    <w:p>
      <w:pPr>
        <w:autoSpaceDE w:val="0"/>
        <w:autoSpaceDN w:val="0"/>
        <w:spacing w:line="500" w:lineRule="exact"/>
        <w:rPr>
          <w:rFonts w:hint="eastAsia" w:ascii="宋体" w:hAnsi="宋体"/>
          <w:b/>
          <w:bCs/>
          <w:color w:val="FF0000"/>
          <w:sz w:val="28"/>
          <w:szCs w:val="28"/>
        </w:rPr>
      </w:pPr>
      <w:r>
        <w:rPr>
          <w:rFonts w:hint="eastAsia" w:ascii="宋体" w:hAnsi="宋体"/>
          <w:b/>
          <w:bCs/>
          <w:color w:val="FF0000"/>
          <w:sz w:val="28"/>
          <w:szCs w:val="28"/>
        </w:rPr>
        <w:t>注：1、投标供应商需提供椅子靠背套及坐垫套完整样品，样品做为投标资料不可缺少的部分。</w:t>
      </w:r>
    </w:p>
    <w:p>
      <w:pPr>
        <w:autoSpaceDE w:val="0"/>
        <w:autoSpaceDN w:val="0"/>
        <w:spacing w:line="500" w:lineRule="exact"/>
        <w:ind w:firstLine="562" w:firstLineChars="200"/>
        <w:rPr>
          <w:rFonts w:ascii="宋体" w:hAnsi="宋体"/>
          <w:b/>
          <w:bCs/>
          <w:color w:val="FF0000"/>
          <w:sz w:val="28"/>
          <w:szCs w:val="28"/>
        </w:rPr>
      </w:pPr>
      <w:r>
        <w:rPr>
          <w:rFonts w:hint="eastAsia" w:ascii="宋体" w:hAnsi="宋体"/>
          <w:b/>
          <w:bCs/>
          <w:color w:val="FF0000"/>
          <w:sz w:val="28"/>
          <w:szCs w:val="28"/>
        </w:rPr>
        <w:t>2、要求</w:t>
      </w:r>
      <w:r>
        <w:rPr>
          <w:rFonts w:ascii="宋体" w:hAnsi="宋体"/>
          <w:b/>
          <w:bCs/>
          <w:color w:val="FF0000"/>
          <w:sz w:val="28"/>
          <w:szCs w:val="28"/>
        </w:rPr>
        <w:t>投标供应商投标前需查看医院样品、材质及颜色</w:t>
      </w:r>
      <w:r>
        <w:rPr>
          <w:rFonts w:hint="eastAsia" w:ascii="宋体" w:hAnsi="宋体"/>
          <w:b/>
          <w:bCs/>
          <w:color w:val="FF0000"/>
          <w:sz w:val="28"/>
          <w:szCs w:val="28"/>
        </w:rPr>
        <w:t>，所投样品不符采购需求，不予采纳。投标人必须对</w:t>
      </w:r>
      <w:r>
        <w:rPr>
          <w:rFonts w:ascii="宋体" w:hAnsi="宋体"/>
          <w:b/>
          <w:bCs/>
          <w:color w:val="FF0000"/>
          <w:sz w:val="28"/>
          <w:szCs w:val="28"/>
        </w:rPr>
        <w:t>风险及成本进行充分考虑。</w:t>
      </w:r>
    </w:p>
    <w:p>
      <w:pPr>
        <w:autoSpaceDE w:val="0"/>
        <w:autoSpaceDN w:val="0"/>
        <w:spacing w:line="500" w:lineRule="exact"/>
        <w:ind w:firstLine="562" w:firstLineChars="200"/>
        <w:rPr>
          <w:rFonts w:ascii="宋体" w:hAnsi="宋体"/>
          <w:b/>
          <w:bCs/>
          <w:color w:val="FF0000"/>
          <w:sz w:val="28"/>
          <w:szCs w:val="28"/>
        </w:rPr>
      </w:pPr>
      <w:r>
        <w:rPr>
          <w:rFonts w:hint="eastAsia" w:ascii="宋体" w:hAnsi="宋体"/>
          <w:b/>
          <w:bCs/>
          <w:color w:val="FF0000"/>
          <w:sz w:val="28"/>
          <w:szCs w:val="28"/>
        </w:rPr>
        <w:t>3、投标供应商须报每项单价、总价。</w:t>
      </w: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autoSpaceDE w:val="0"/>
        <w:autoSpaceDN w:val="0"/>
        <w:spacing w:line="500" w:lineRule="exact"/>
        <w:ind w:firstLine="560" w:firstLineChars="200"/>
        <w:rPr>
          <w:rFonts w:ascii="宋体" w:hAnsi="宋体"/>
          <w:sz w:val="28"/>
          <w:szCs w:val="28"/>
        </w:rPr>
      </w:pPr>
      <w:r>
        <w:rPr>
          <w:rFonts w:hint="eastAsia" w:ascii="宋体" w:hAnsi="宋体"/>
          <w:sz w:val="28"/>
          <w:szCs w:val="28"/>
        </w:rPr>
        <w:t>1、供货时间：接到采购人供货通知后20日历天内完成供货。</w:t>
      </w:r>
    </w:p>
    <w:p>
      <w:pPr>
        <w:autoSpaceDE w:val="0"/>
        <w:autoSpaceDN w:val="0"/>
        <w:spacing w:line="500" w:lineRule="exact"/>
        <w:ind w:firstLine="560" w:firstLineChars="200"/>
        <w:rPr>
          <w:rFonts w:ascii="宋体" w:hAnsi="宋体"/>
          <w:sz w:val="28"/>
          <w:szCs w:val="28"/>
        </w:rPr>
      </w:pPr>
      <w:r>
        <w:rPr>
          <w:rFonts w:hint="eastAsia" w:ascii="宋体" w:hAnsi="宋体"/>
          <w:sz w:val="28"/>
          <w:szCs w:val="28"/>
        </w:rPr>
        <w:t>2、交货地点：根据采购人要求，免费送货到采购人指定地点，负责货物安装到位并承担因此发生的一切费用（含停车费）。</w:t>
      </w:r>
    </w:p>
    <w:p>
      <w:pPr>
        <w:autoSpaceDE w:val="0"/>
        <w:autoSpaceDN w:val="0"/>
        <w:spacing w:line="500" w:lineRule="exact"/>
        <w:ind w:firstLine="560" w:firstLineChars="200"/>
        <w:rPr>
          <w:rFonts w:ascii="宋体" w:hAnsi="宋体"/>
          <w:sz w:val="28"/>
          <w:szCs w:val="28"/>
        </w:rPr>
      </w:pPr>
      <w:r>
        <w:rPr>
          <w:rFonts w:hint="eastAsia" w:ascii="宋体" w:hAnsi="宋体"/>
          <w:sz w:val="28"/>
          <w:szCs w:val="28"/>
        </w:rPr>
        <w:t>3、付款方式：本项目为固定单价合同，根据实际供货数量和合同各项单价据实结算。中标服务商安装完毕双方验收合格后，采购人45个工作日内支付95%合同货款，余下5%尾款在壹年期满后若无质量问题20个工作日内甲方向乙方无息支付（时间从甲方验收合格确认签字后次日计算）。</w:t>
      </w:r>
    </w:p>
    <w:p>
      <w:pPr>
        <w:spacing w:line="500" w:lineRule="exact"/>
        <w:ind w:firstLine="560" w:firstLineChars="200"/>
        <w:jc w:val="left"/>
        <w:rPr>
          <w:rFonts w:ascii="宋体" w:hAnsi="宋体"/>
          <w:sz w:val="28"/>
          <w:szCs w:val="28"/>
        </w:rPr>
      </w:pPr>
      <w:r>
        <w:rPr>
          <w:rFonts w:hint="eastAsia" w:ascii="宋体" w:hAnsi="宋体"/>
          <w:sz w:val="28"/>
          <w:szCs w:val="28"/>
        </w:rPr>
        <w:t>4、</w:t>
      </w:r>
      <w:r>
        <w:rPr>
          <w:rFonts w:ascii="宋体" w:hAnsi="宋体"/>
          <w:sz w:val="28"/>
          <w:szCs w:val="28"/>
        </w:rPr>
        <w:t>中标供应商在合同生效后根据采购人要求分批按需供货，免费运输至采购人指定地点进行交货，由使用科室签收确认。合同期内具体数量以采购人需求为准，采购人需求少于合同总量时中标供应商不得以任何理由要求采购人按合同数量接纳货物，采购人需求大于合同总量（不超过10%）时，多余货物按合同单价执行。若有不可预期的问题产生，须提前通告双方协商。</w:t>
      </w:r>
    </w:p>
    <w:p>
      <w:pPr>
        <w:autoSpaceDE w:val="0"/>
        <w:autoSpaceDN w:val="0"/>
        <w:spacing w:line="500" w:lineRule="exact"/>
        <w:ind w:firstLine="560" w:firstLineChars="200"/>
        <w:rPr>
          <w:rFonts w:ascii="宋体" w:hAnsi="宋体"/>
          <w:sz w:val="28"/>
          <w:szCs w:val="28"/>
        </w:rPr>
      </w:pPr>
      <w:r>
        <w:rPr>
          <w:rFonts w:hint="eastAsia" w:ascii="宋体" w:hAnsi="宋体"/>
          <w:sz w:val="28"/>
          <w:szCs w:val="28"/>
        </w:rPr>
        <w:t>5、中标供应商在实际供货过程中，按采购人实际需求匹配供货，所供产品需等于或者优于供应商询价响应文件货物清单中所列规格型号，产品质量必须达到国家标准且为全新、未曾使用的产品。不满足上述要求，采购人将拒收。</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r>
        <w:rPr>
          <w:rFonts w:hint="eastAsia"/>
          <w:sz w:val="28"/>
          <w:szCs w:val="28"/>
          <w:lang w:val="en-US" w:eastAsia="zh-CN"/>
        </w:rPr>
        <w:t>1正1副</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56291165"/>
      <w:bookmarkStart w:id="3" w:name="_Toc456291260"/>
      <w:bookmarkStart w:id="4" w:name="_Toc456291280"/>
      <w:bookmarkStart w:id="5" w:name="_Toc456291537"/>
      <w:bookmarkStart w:id="6" w:name="_Toc456291354"/>
      <w:bookmarkStart w:id="7" w:name="_Toc462487372"/>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647C2"/>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83F"/>
    <w:rsid w:val="00291D9B"/>
    <w:rsid w:val="002920F0"/>
    <w:rsid w:val="00292435"/>
    <w:rsid w:val="002939B6"/>
    <w:rsid w:val="00295BE8"/>
    <w:rsid w:val="002B2D81"/>
    <w:rsid w:val="002B5840"/>
    <w:rsid w:val="002C1294"/>
    <w:rsid w:val="002D44E1"/>
    <w:rsid w:val="002E2711"/>
    <w:rsid w:val="002E53E8"/>
    <w:rsid w:val="00301986"/>
    <w:rsid w:val="00301DE8"/>
    <w:rsid w:val="003063F4"/>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2BAB"/>
    <w:rsid w:val="003C0B70"/>
    <w:rsid w:val="003C23B2"/>
    <w:rsid w:val="003C5551"/>
    <w:rsid w:val="003D5E50"/>
    <w:rsid w:val="003E374C"/>
    <w:rsid w:val="003E41C7"/>
    <w:rsid w:val="003E582E"/>
    <w:rsid w:val="003E6722"/>
    <w:rsid w:val="003F0358"/>
    <w:rsid w:val="003F4996"/>
    <w:rsid w:val="00401E67"/>
    <w:rsid w:val="00412907"/>
    <w:rsid w:val="00421514"/>
    <w:rsid w:val="00424AFD"/>
    <w:rsid w:val="004303FC"/>
    <w:rsid w:val="00431633"/>
    <w:rsid w:val="00440AB7"/>
    <w:rsid w:val="00446638"/>
    <w:rsid w:val="00453CDC"/>
    <w:rsid w:val="004639A9"/>
    <w:rsid w:val="00474384"/>
    <w:rsid w:val="00492E11"/>
    <w:rsid w:val="004A4255"/>
    <w:rsid w:val="004B272B"/>
    <w:rsid w:val="004B6E90"/>
    <w:rsid w:val="004C4E45"/>
    <w:rsid w:val="004D2F37"/>
    <w:rsid w:val="004D43F7"/>
    <w:rsid w:val="004D59EA"/>
    <w:rsid w:val="00503601"/>
    <w:rsid w:val="00521CC1"/>
    <w:rsid w:val="0052240D"/>
    <w:rsid w:val="00525F76"/>
    <w:rsid w:val="005455AF"/>
    <w:rsid w:val="0055245D"/>
    <w:rsid w:val="00554142"/>
    <w:rsid w:val="005603E9"/>
    <w:rsid w:val="00563340"/>
    <w:rsid w:val="00564A6B"/>
    <w:rsid w:val="0056741D"/>
    <w:rsid w:val="00573DED"/>
    <w:rsid w:val="00586638"/>
    <w:rsid w:val="005A3835"/>
    <w:rsid w:val="005B302D"/>
    <w:rsid w:val="005B7B08"/>
    <w:rsid w:val="005C0FA3"/>
    <w:rsid w:val="005D0E98"/>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2FF4"/>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305E"/>
    <w:rsid w:val="00AF3791"/>
    <w:rsid w:val="00B134B3"/>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2213"/>
    <w:rsid w:val="00C755D3"/>
    <w:rsid w:val="00C82236"/>
    <w:rsid w:val="00C8699A"/>
    <w:rsid w:val="00C94673"/>
    <w:rsid w:val="00C96707"/>
    <w:rsid w:val="00CA6671"/>
    <w:rsid w:val="00CB3480"/>
    <w:rsid w:val="00CD321B"/>
    <w:rsid w:val="00CF6B2D"/>
    <w:rsid w:val="00D01EEA"/>
    <w:rsid w:val="00D03987"/>
    <w:rsid w:val="00D04FEF"/>
    <w:rsid w:val="00D05A49"/>
    <w:rsid w:val="00D16FE2"/>
    <w:rsid w:val="00D17F7E"/>
    <w:rsid w:val="00D210FF"/>
    <w:rsid w:val="00D25C39"/>
    <w:rsid w:val="00D30CE8"/>
    <w:rsid w:val="00D31DB8"/>
    <w:rsid w:val="00D3588F"/>
    <w:rsid w:val="00D36681"/>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246E"/>
    <w:rsid w:val="00F879C4"/>
    <w:rsid w:val="00FA58E6"/>
    <w:rsid w:val="00FB6AA0"/>
    <w:rsid w:val="00FD747B"/>
    <w:rsid w:val="4EA767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locked/>
    <w:uiPriority w:val="99"/>
    <w:rPr>
      <w:rFonts w:ascii="Cambria" w:hAnsi="Cambria" w:eastAsia="宋体" w:cs="Cambria"/>
      <w:b/>
      <w:bCs/>
      <w:sz w:val="32"/>
      <w:szCs w:val="32"/>
    </w:rPr>
  </w:style>
  <w:style w:type="character" w:customStyle="1" w:styleId="14">
    <w:name w:val="页眉 Char"/>
    <w:link w:val="7"/>
    <w:locked/>
    <w:uiPriority w:val="99"/>
    <w:rPr>
      <w:sz w:val="18"/>
      <w:szCs w:val="18"/>
    </w:rPr>
  </w:style>
  <w:style w:type="character" w:customStyle="1" w:styleId="15">
    <w:name w:val="页脚 Char"/>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semiHidden/>
    <w:locked/>
    <w:uiPriority w:val="99"/>
    <w:rPr>
      <w:rFonts w:ascii="Times New Roman" w:hAnsi="Times New Roman" w:eastAsia="宋体" w:cs="Times New Roman"/>
      <w:sz w:val="18"/>
      <w:szCs w:val="18"/>
    </w:rPr>
  </w:style>
  <w:style w:type="paragraph" w:customStyle="1" w:styleId="19">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Char"/>
    <w:link w:val="4"/>
    <w:uiPriority w:val="0"/>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C8FB5-2084-4851-818B-798E1B8207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773</Words>
  <Characters>4408</Characters>
  <Lines>36</Lines>
  <Paragraphs>10</Paragraphs>
  <TotalTime>1</TotalTime>
  <ScaleCrop>false</ScaleCrop>
  <LinksUpToDate>false</LinksUpToDate>
  <CharactersWithSpaces>5171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2024-03-12T03:25:00Z</cp:lastPrinted>
  <dcterms:modified xsi:type="dcterms:W3CDTF">2024-03-20T05:38:41Z</dcterms:modified>
  <dc:title>宜昌市中心人民医院</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DEE15CAF3CAA4F148A70080F1646FAD7_13</vt:lpwstr>
  </property>
</Properties>
</file>