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highlight w:val="yellow"/>
        </w:rPr>
      </w:pPr>
      <w:r>
        <w:rPr>
          <w:rStyle w:val="13"/>
          <w:rFonts w:hint="eastAsia" w:ascii="黑体" w:hAnsi="黑体" w:eastAsia="黑体" w:cs="黑体"/>
          <w:sz w:val="44"/>
          <w:szCs w:val="44"/>
          <w:highlight w:val="yellow"/>
        </w:rPr>
        <w:t>宜昌市</w:t>
      </w:r>
      <w:r>
        <w:rPr>
          <w:rStyle w:val="13"/>
          <w:rFonts w:ascii="黑体" w:hAnsi="黑体" w:eastAsia="黑体" w:cs="黑体"/>
          <w:sz w:val="44"/>
          <w:szCs w:val="44"/>
          <w:highlight w:val="yellow"/>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rPr>
      </w:pPr>
      <w:r>
        <w:rPr>
          <w:rFonts w:hint="eastAsia"/>
          <w:sz w:val="28"/>
          <w:szCs w:val="28"/>
          <w:highlight w:val="yellow"/>
        </w:rPr>
        <w:t>宜昌市中心人民医院</w:t>
      </w:r>
      <w:r>
        <w:rPr>
          <w:rFonts w:hint="eastAsia"/>
          <w:sz w:val="28"/>
          <w:szCs w:val="28"/>
        </w:rPr>
        <w:t>对</w:t>
      </w:r>
      <w:r>
        <w:rPr>
          <w:rFonts w:hint="eastAsia" w:asciiTheme="minorEastAsia" w:hAnsiTheme="minorEastAsia" w:eastAsiaTheme="minorEastAsia"/>
          <w:sz w:val="28"/>
          <w:szCs w:val="28"/>
          <w:highlight w:val="yellow"/>
        </w:rPr>
        <w:t>2024年移动护理PDA手持终端采购项目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color w:val="000000"/>
          <w:sz w:val="28"/>
          <w:szCs w:val="28"/>
          <w:highlight w:val="yellow"/>
        </w:rPr>
      </w:pPr>
      <w:r>
        <w:rPr>
          <w:sz w:val="28"/>
          <w:szCs w:val="28"/>
        </w:rPr>
        <w:t>1</w:t>
      </w:r>
      <w:r>
        <w:rPr>
          <w:rFonts w:hint="eastAsia"/>
          <w:sz w:val="28"/>
          <w:szCs w:val="28"/>
        </w:rPr>
        <w:t>、项目编号：</w:t>
      </w:r>
      <w:r>
        <w:rPr>
          <w:rFonts w:hint="eastAsia"/>
          <w:color w:val="000000"/>
          <w:sz w:val="28"/>
          <w:szCs w:val="28"/>
          <w:highlight w:val="yellow"/>
        </w:rPr>
        <w:t>YCZXYYZB-2024-A3013</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Pr>
          <w:rFonts w:hint="eastAsia"/>
          <w:sz w:val="28"/>
          <w:szCs w:val="28"/>
          <w:highlight w:val="yellow"/>
        </w:rPr>
        <w:t>宜昌市中心人民医</w:t>
      </w:r>
      <w:r>
        <w:rPr>
          <w:rFonts w:hint="eastAsia"/>
          <w:color w:val="000000"/>
          <w:sz w:val="28"/>
          <w:szCs w:val="28"/>
          <w:highlight w:val="yellow"/>
        </w:rPr>
        <w:t>院</w:t>
      </w:r>
      <w:r>
        <w:rPr>
          <w:rFonts w:hint="eastAsia" w:asciiTheme="minorEastAsia" w:hAnsiTheme="minorEastAsia" w:eastAsiaTheme="minorEastAsia"/>
          <w:sz w:val="28"/>
          <w:szCs w:val="28"/>
          <w:highlight w:val="yellow"/>
        </w:rPr>
        <w:t>2024年移动护理PDA手持终端采购项目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hint="eastAsia" w:eastAsia="宋体" w:cs="Times New Roman"/>
          <w:sz w:val="28"/>
          <w:szCs w:val="28"/>
          <w:lang w:eastAsia="zh-CN"/>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2024</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rFonts w:hint="eastAsia"/>
          <w:color w:val="FF0000"/>
          <w:sz w:val="28"/>
          <w:szCs w:val="28"/>
          <w:lang w:val="en-US" w:eastAsia="zh-CN"/>
        </w:rPr>
        <w:t>8</w:t>
      </w:r>
      <w:r>
        <w:rPr>
          <w:rFonts w:hint="eastAsia"/>
          <w:color w:val="FF0000"/>
          <w:sz w:val="28"/>
          <w:szCs w:val="28"/>
        </w:rPr>
        <w:t>:30</w:t>
      </w:r>
      <w:r>
        <w:rPr>
          <w:rFonts w:hint="eastAsia"/>
          <w:sz w:val="28"/>
          <w:szCs w:val="28"/>
        </w:rPr>
        <w:t>。</w:t>
      </w:r>
      <w:bookmarkStart w:id="8" w:name="_GoBack"/>
      <w:bookmarkEnd w:id="8"/>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投标地点：宜昌市中心人民医院招标办（夷陵大道 183 号9号楼310办公室）（工作日上午8:00～12:00、下午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、开标地点：宜昌市中心人民医院会议室。</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本次公告在宜昌市中心人民医院官网（http://www.yczxyy.com/），信息以本网站发布为准。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w:t>
      </w:r>
      <w:r>
        <w:rPr>
          <w:rFonts w:hint="eastAsia"/>
          <w:sz w:val="28"/>
          <w:szCs w:val="28"/>
          <w:highlight w:val="yellow"/>
        </w:rPr>
        <w:t>王老师</w:t>
      </w:r>
      <w:r>
        <w:rPr>
          <w:sz w:val="28"/>
          <w:szCs w:val="28"/>
          <w:highlight w:val="yellow"/>
        </w:rPr>
        <w:t>0717-6483506</w:t>
      </w:r>
      <w:r>
        <w:rPr>
          <w:rFonts w:hint="eastAsia"/>
          <w:sz w:val="28"/>
          <w:szCs w:val="28"/>
          <w:highlight w:val="yellow"/>
        </w:rPr>
        <w:t>（信息管理部）</w:t>
      </w:r>
    </w:p>
    <w:p>
      <w:pPr>
        <w:pStyle w:val="9"/>
        <w:shd w:val="clear" w:color="auto" w:fill="FFFFFF"/>
        <w:spacing w:before="0" w:beforeAutospacing="0" w:after="0" w:afterAutospacing="0"/>
        <w:ind w:firstLine="1960" w:firstLineChars="700"/>
        <w:rPr>
          <w:rFonts w:hint="default" w:eastAsia="宋体" w:cs="Times New Roman"/>
          <w:sz w:val="28"/>
          <w:szCs w:val="28"/>
          <w:lang w:val="en-US" w:eastAsia="zh-CN"/>
        </w:rPr>
      </w:pPr>
      <w:r>
        <w:rPr>
          <w:rFonts w:hint="eastAsia"/>
          <w:sz w:val="28"/>
          <w:szCs w:val="28"/>
        </w:rPr>
        <w:t>高老师</w:t>
      </w:r>
      <w:r>
        <w:rPr>
          <w:rFonts w:hint="eastAsia"/>
          <w:sz w:val="28"/>
          <w:szCs w:val="28"/>
          <w:lang w:val="en-US" w:eastAsia="zh-CN"/>
        </w:rPr>
        <w:t>0717-6227301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highlight w:val="yellow"/>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、项目编号：YCZXYYZB-2024-A3013</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highlight w:val="yellow"/>
        </w:rPr>
        <w:t>宜昌市中心人民医院</w:t>
      </w:r>
      <w:r>
        <w:rPr>
          <w:rFonts w:hint="eastAsia" w:asciiTheme="minorEastAsia" w:hAnsiTheme="minorEastAsia" w:eastAsiaTheme="minorEastAsia"/>
          <w:sz w:val="28"/>
          <w:szCs w:val="28"/>
          <w:highlight w:val="yellow"/>
        </w:rPr>
        <w:t>2024年移动护理PDA手持终端采购项目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highlight w:val="yellow"/>
        </w:rPr>
        <w:t>9.00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highlight w:val="yellow"/>
        </w:rPr>
      </w:pPr>
      <w:r>
        <w:rPr>
          <w:rFonts w:hint="eastAsia" w:ascii="宋体" w:hAnsi="宋体" w:cs="宋体"/>
          <w:b/>
          <w:bCs/>
          <w:kern w:val="0"/>
          <w:sz w:val="28"/>
          <w:szCs w:val="28"/>
          <w:highlight w:val="yellow"/>
        </w:rPr>
        <w:t>3.1项目</w:t>
      </w:r>
      <w:r>
        <w:rPr>
          <w:rFonts w:ascii="宋体" w:hAnsi="宋体" w:cs="宋体"/>
          <w:b/>
          <w:bCs/>
          <w:kern w:val="0"/>
          <w:sz w:val="28"/>
          <w:szCs w:val="28"/>
          <w:highlight w:val="yellow"/>
        </w:rPr>
        <w:t>概况</w:t>
      </w:r>
    </w:p>
    <w:p>
      <w:pPr>
        <w:widowControl/>
        <w:spacing w:line="500" w:lineRule="exact"/>
        <w:ind w:firstLine="560" w:firstLineChars="200"/>
        <w:jc w:val="left"/>
        <w:rPr>
          <w:rFonts w:ascii="宋体" w:hAnsi="宋体" w:cs="宋体"/>
          <w:bCs/>
          <w:kern w:val="0"/>
          <w:sz w:val="28"/>
          <w:szCs w:val="28"/>
          <w:highlight w:val="yellow"/>
        </w:rPr>
      </w:pPr>
      <w:r>
        <w:rPr>
          <w:rFonts w:hint="eastAsia" w:ascii="宋体" w:hAnsi="宋体" w:cs="宋体"/>
          <w:bCs/>
          <w:kern w:val="0"/>
          <w:sz w:val="28"/>
          <w:szCs w:val="28"/>
          <w:highlight w:val="yellow"/>
        </w:rPr>
        <w:t>2024年移动护理PDA手持终端采购项目。</w:t>
      </w:r>
    </w:p>
    <w:p>
      <w:pPr>
        <w:widowControl/>
        <w:spacing w:line="500" w:lineRule="exact"/>
        <w:jc w:val="left"/>
        <w:rPr>
          <w:rFonts w:ascii="宋体" w:hAnsi="宋体" w:cs="宋体"/>
          <w:b/>
          <w:bCs/>
          <w:kern w:val="0"/>
          <w:sz w:val="28"/>
          <w:szCs w:val="28"/>
          <w:highlight w:val="yellow"/>
        </w:rPr>
      </w:pPr>
      <w:r>
        <w:rPr>
          <w:rFonts w:hint="eastAsia" w:ascii="宋体" w:hAnsi="宋体" w:cs="宋体"/>
          <w:b/>
          <w:bCs/>
          <w:kern w:val="0"/>
          <w:sz w:val="28"/>
          <w:szCs w:val="28"/>
          <w:highlight w:val="yellow"/>
        </w:rPr>
        <w:t>3</w:t>
      </w:r>
      <w:r>
        <w:rPr>
          <w:rFonts w:ascii="宋体" w:hAnsi="宋体" w:cs="宋体"/>
          <w:b/>
          <w:bCs/>
          <w:kern w:val="0"/>
          <w:sz w:val="28"/>
          <w:szCs w:val="28"/>
          <w:highlight w:val="yellow"/>
        </w:rPr>
        <w:t>.2</w:t>
      </w:r>
      <w:r>
        <w:rPr>
          <w:rFonts w:hint="eastAsia" w:ascii="宋体" w:hAnsi="宋体" w:cs="宋体"/>
          <w:b/>
          <w:bCs/>
          <w:kern w:val="0"/>
          <w:sz w:val="28"/>
          <w:szCs w:val="28"/>
          <w:highlight w:val="yellow"/>
        </w:rPr>
        <w:t>项目服务要求：</w:t>
      </w:r>
    </w:p>
    <w:p>
      <w:pPr>
        <w:ind w:firstLine="560" w:firstLineChars="200"/>
        <w:rPr>
          <w:rFonts w:ascii="宋体" w:hAnsi="宋体" w:cs="宋体"/>
          <w:bCs/>
          <w:kern w:val="0"/>
          <w:sz w:val="28"/>
          <w:szCs w:val="28"/>
          <w:highlight w:val="yellow"/>
        </w:rPr>
      </w:pPr>
      <w:r>
        <w:rPr>
          <w:rFonts w:hint="eastAsia" w:ascii="宋体" w:hAnsi="宋体" w:cs="宋体"/>
          <w:bCs/>
          <w:kern w:val="0"/>
          <w:sz w:val="28"/>
          <w:szCs w:val="28"/>
          <w:highlight w:val="yellow"/>
        </w:rPr>
        <w:t>1、采购清单</w:t>
      </w:r>
    </w:p>
    <w:tbl>
      <w:tblPr>
        <w:tblStyle w:val="10"/>
        <w:tblW w:w="6786" w:type="dxa"/>
        <w:jc w:val="center"/>
        <w:tblLayout w:type="autofit"/>
        <w:tblCellMar>
          <w:top w:w="0" w:type="dxa"/>
          <w:left w:w="108" w:type="dxa"/>
          <w:bottom w:w="0" w:type="dxa"/>
          <w:right w:w="108" w:type="dxa"/>
        </w:tblCellMar>
      </w:tblPr>
      <w:tblGrid>
        <w:gridCol w:w="1026"/>
        <w:gridCol w:w="2240"/>
        <w:gridCol w:w="1760"/>
        <w:gridCol w:w="1760"/>
      </w:tblGrid>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设备名称</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单位</w:t>
            </w:r>
          </w:p>
        </w:tc>
      </w:tr>
      <w:tr>
        <w:tblPrEx>
          <w:tblCellMar>
            <w:top w:w="0" w:type="dxa"/>
            <w:left w:w="108" w:type="dxa"/>
            <w:bottom w:w="0" w:type="dxa"/>
            <w:right w:w="108" w:type="dxa"/>
          </w:tblCellMar>
        </w:tblPrEx>
        <w:trPr>
          <w:trHeight w:val="285" w:hRule="atLeast"/>
          <w:jc w:val="center"/>
        </w:trPr>
        <w:tc>
          <w:tcPr>
            <w:tcW w:w="1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1</w:t>
            </w:r>
          </w:p>
        </w:tc>
        <w:tc>
          <w:tcPr>
            <w:tcW w:w="22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PDA手持终端</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18</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台</w:t>
            </w:r>
          </w:p>
        </w:tc>
      </w:tr>
    </w:tbl>
    <w:p>
      <w:pPr>
        <w:ind w:firstLine="560" w:firstLineChars="200"/>
        <w:rPr>
          <w:rFonts w:ascii="宋体" w:hAnsi="宋体" w:cs="宋体"/>
          <w:bCs/>
          <w:kern w:val="0"/>
          <w:sz w:val="28"/>
          <w:szCs w:val="28"/>
          <w:highlight w:val="yellow"/>
        </w:rPr>
      </w:pPr>
      <w:r>
        <w:rPr>
          <w:rFonts w:hint="eastAsia" w:ascii="宋体" w:hAnsi="宋体" w:cs="宋体"/>
          <w:bCs/>
          <w:kern w:val="0"/>
          <w:sz w:val="28"/>
          <w:szCs w:val="28"/>
          <w:highlight w:val="yellow"/>
        </w:rPr>
        <w:t>2、设备参数具体要求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868"/>
        <w:gridCol w:w="1355"/>
        <w:gridCol w:w="5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序号</w:t>
            </w:r>
          </w:p>
        </w:tc>
        <w:tc>
          <w:tcPr>
            <w:tcW w:w="972"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类别</w:t>
            </w:r>
          </w:p>
        </w:tc>
        <w:tc>
          <w:tcPr>
            <w:tcW w:w="1525"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指标项目</w:t>
            </w:r>
          </w:p>
        </w:tc>
        <w:tc>
          <w:tcPr>
            <w:tcW w:w="6573"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p>
        </w:tc>
        <w:tc>
          <w:tcPr>
            <w:tcW w:w="972" w:type="dxa"/>
            <w:vMerge w:val="restart"/>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基础参数</w:t>
            </w: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处理器</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高通八核及以上处理器，频率≥2.0</w:t>
            </w:r>
            <w:r>
              <w:rPr>
                <w:rFonts w:asciiTheme="minorEastAsia" w:hAnsiTheme="minorEastAsia" w:eastAsiaTheme="minorEastAsia"/>
                <w:szCs w:val="18"/>
              </w:rPr>
              <w:t>GHZ</w:t>
            </w:r>
            <w:r>
              <w:rPr>
                <w:rFonts w:hint="eastAsia" w:asciiTheme="minorEastAsia" w:hAnsiTheme="minorEastAsia" w:eastAsiaTheme="minorEastAsia"/>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运行内存</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≥4GB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3</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储存内存</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≥64GB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4</w:t>
            </w:r>
          </w:p>
        </w:tc>
        <w:tc>
          <w:tcPr>
            <w:tcW w:w="972" w:type="dxa"/>
            <w:vMerge w:val="continue"/>
            <w:vAlign w:val="center"/>
          </w:tcPr>
          <w:p>
            <w:pPr>
              <w:jc w:val="center"/>
              <w:rPr>
                <w:rFonts w:asciiTheme="minorEastAsia" w:hAnsiTheme="minorEastAsia" w:eastAsiaTheme="minorEastAsia"/>
                <w:szCs w:val="18"/>
              </w:rPr>
            </w:pPr>
          </w:p>
        </w:tc>
        <w:tc>
          <w:tcPr>
            <w:tcW w:w="1525" w:type="dxa"/>
            <w:vMerge w:val="restart"/>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续航能力</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可充电的锂离子电池，容量≥4500mAh，工作时间≥10小时，满足货物空运和海运条件，提供第三方CNAS实验室空运和海运检测报告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5</w:t>
            </w:r>
          </w:p>
        </w:tc>
        <w:tc>
          <w:tcPr>
            <w:tcW w:w="972" w:type="dxa"/>
            <w:vMerge w:val="continue"/>
            <w:vAlign w:val="center"/>
          </w:tcPr>
          <w:p>
            <w:pPr>
              <w:jc w:val="center"/>
              <w:rPr>
                <w:rFonts w:asciiTheme="minorEastAsia" w:hAnsiTheme="minorEastAsia" w:eastAsiaTheme="minorEastAsia"/>
                <w:szCs w:val="18"/>
              </w:rPr>
            </w:pPr>
          </w:p>
        </w:tc>
        <w:tc>
          <w:tcPr>
            <w:tcW w:w="1525" w:type="dxa"/>
            <w:vMerge w:val="continue"/>
            <w:vAlign w:val="center"/>
          </w:tcPr>
          <w:p>
            <w:pPr>
              <w:jc w:val="center"/>
              <w:rPr>
                <w:rFonts w:asciiTheme="minorEastAsia" w:hAnsiTheme="minorEastAsia" w:eastAsiaTheme="minorEastAsia"/>
                <w:szCs w:val="18"/>
              </w:rPr>
            </w:pP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为方便后期电池维护等问题，电池采用可拆卸设计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6</w:t>
            </w:r>
          </w:p>
        </w:tc>
        <w:tc>
          <w:tcPr>
            <w:tcW w:w="972" w:type="dxa"/>
            <w:vMerge w:val="continue"/>
            <w:vAlign w:val="center"/>
          </w:tcPr>
          <w:p>
            <w:pPr>
              <w:jc w:val="center"/>
              <w:rPr>
                <w:rFonts w:asciiTheme="minorEastAsia" w:hAnsiTheme="minorEastAsia" w:eastAsiaTheme="minorEastAsia"/>
                <w:szCs w:val="18"/>
              </w:rPr>
            </w:pPr>
          </w:p>
        </w:tc>
        <w:tc>
          <w:tcPr>
            <w:tcW w:w="1525" w:type="dxa"/>
            <w:vMerge w:val="continue"/>
            <w:vAlign w:val="center"/>
          </w:tcPr>
          <w:p>
            <w:pPr>
              <w:jc w:val="center"/>
              <w:rPr>
                <w:rFonts w:asciiTheme="minorEastAsia" w:hAnsiTheme="minorEastAsia" w:eastAsiaTheme="minorEastAsia"/>
                <w:szCs w:val="18"/>
              </w:rPr>
            </w:pP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Type-C接口，支持快充技术，</w:t>
            </w:r>
            <w:r>
              <w:rPr>
                <w:rFonts w:hint="eastAsia" w:cs="Times New Roman" w:asciiTheme="minorEastAsia" w:hAnsiTheme="minorEastAsia" w:eastAsiaTheme="minorEastAsia"/>
                <w:szCs w:val="18"/>
              </w:rPr>
              <w:t>支持OTG。</w:t>
            </w:r>
          </w:p>
        </w:tc>
      </w:tr>
      <w:tr>
        <w:tblPrEx>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7</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屏幕尺寸</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为满足护士单手操作PDA的习惯要求，4.7英寸≤显示屏幕尺寸≤5.</w:t>
            </w:r>
            <w:r>
              <w:rPr>
                <w:rFonts w:asciiTheme="minorEastAsia" w:hAnsiTheme="minorEastAsia" w:eastAsiaTheme="minorEastAsia"/>
                <w:szCs w:val="18"/>
              </w:rPr>
              <w:t>2</w:t>
            </w:r>
            <w:r>
              <w:rPr>
                <w:rFonts w:hint="eastAsia" w:asciiTheme="minorEastAsia" w:hAnsiTheme="minorEastAsia" w:eastAsiaTheme="minorEastAsia"/>
                <w:szCs w:val="18"/>
              </w:rPr>
              <w:t>英寸，电容多点触控，支持戴手套/带水触摸；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8</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屏幕分辨率</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分辨率≥</w:t>
            </w:r>
            <w:r>
              <w:rPr>
                <w:rFonts w:asciiTheme="minorEastAsia" w:hAnsiTheme="minorEastAsia" w:eastAsiaTheme="minorEastAsia"/>
                <w:szCs w:val="18"/>
              </w:rPr>
              <w:t>1</w:t>
            </w:r>
            <w:r>
              <w:rPr>
                <w:rFonts w:hint="eastAsia" w:asciiTheme="minorEastAsia" w:hAnsiTheme="minorEastAsia" w:eastAsiaTheme="minorEastAsia"/>
                <w:szCs w:val="18"/>
              </w:rPr>
              <w:t>92</w:t>
            </w:r>
            <w:r>
              <w:rPr>
                <w:rFonts w:asciiTheme="minorEastAsia" w:hAnsiTheme="minorEastAsia" w:eastAsiaTheme="minorEastAsia"/>
                <w:szCs w:val="18"/>
              </w:rPr>
              <w:t>0</w:t>
            </w:r>
            <w:r>
              <w:rPr>
                <w:rFonts w:hint="eastAsia" w:asciiTheme="minorEastAsia" w:hAnsiTheme="minorEastAsia" w:eastAsiaTheme="minorEastAsia"/>
                <w:szCs w:val="18"/>
              </w:rPr>
              <w:t>*108</w:t>
            </w:r>
            <w:r>
              <w:rPr>
                <w:rFonts w:asciiTheme="minorEastAsia" w:hAnsiTheme="minorEastAsia" w:eastAsiaTheme="minorEastAsia"/>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9</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摄像头</w:t>
            </w:r>
          </w:p>
        </w:tc>
        <w:tc>
          <w:tcPr>
            <w:tcW w:w="6573" w:type="dxa"/>
            <w:vAlign w:val="center"/>
          </w:tcPr>
          <w:p>
            <w:pPr>
              <w:contextualSpacing/>
              <w:jc w:val="left"/>
              <w:rPr>
                <w:rFonts w:asciiTheme="minorEastAsia" w:hAnsiTheme="minorEastAsia" w:eastAsiaTheme="minorEastAsia"/>
                <w:szCs w:val="18"/>
              </w:rPr>
            </w:pPr>
            <w:r>
              <w:rPr>
                <w:rFonts w:hint="eastAsia" w:asciiTheme="minorEastAsia" w:hAnsiTheme="minorEastAsia" w:eastAsiaTheme="minorEastAsia"/>
                <w:szCs w:val="18"/>
              </w:rPr>
              <w:t>≥</w:t>
            </w:r>
            <w:r>
              <w:rPr>
                <w:rFonts w:asciiTheme="minorEastAsia" w:hAnsiTheme="minorEastAsia" w:eastAsiaTheme="minorEastAsia"/>
                <w:szCs w:val="18"/>
              </w:rPr>
              <w:t>1</w:t>
            </w:r>
            <w:r>
              <w:rPr>
                <w:rFonts w:hint="eastAsia" w:asciiTheme="minorEastAsia" w:hAnsiTheme="minorEastAsia" w:eastAsiaTheme="minorEastAsia"/>
                <w:szCs w:val="18"/>
              </w:rPr>
              <w:t>3</w:t>
            </w:r>
            <w:r>
              <w:rPr>
                <w:rFonts w:asciiTheme="minorEastAsia" w:hAnsiTheme="minorEastAsia" w:eastAsiaTheme="minorEastAsia"/>
                <w:szCs w:val="18"/>
              </w:rPr>
              <w:t>00</w:t>
            </w:r>
            <w:r>
              <w:rPr>
                <w:rFonts w:hint="eastAsia" w:asciiTheme="minorEastAsia" w:hAnsiTheme="minorEastAsia" w:eastAsiaTheme="minorEastAsia"/>
                <w:szCs w:val="18"/>
              </w:rPr>
              <w:t>万像素，自动对焦摄像头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0</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cs="宋体" w:asciiTheme="minorEastAsia" w:hAnsiTheme="minorEastAsia" w:eastAsiaTheme="minorEastAsia"/>
                <w:color w:val="000000"/>
                <w:szCs w:val="18"/>
              </w:rPr>
              <w:t>扩展卡槽</w:t>
            </w:r>
          </w:p>
        </w:tc>
        <w:tc>
          <w:tcPr>
            <w:tcW w:w="6573" w:type="dxa"/>
            <w:vAlign w:val="center"/>
          </w:tcPr>
          <w:p>
            <w:pPr>
              <w:contextualSpacing/>
              <w:jc w:val="left"/>
              <w:rPr>
                <w:rFonts w:asciiTheme="minorEastAsia" w:hAnsiTheme="minorEastAsia" w:eastAsiaTheme="minorEastAsia"/>
                <w:szCs w:val="18"/>
              </w:rPr>
            </w:pPr>
            <w:r>
              <w:rPr>
                <w:rFonts w:hint="eastAsia" w:cs="宋体" w:asciiTheme="minorEastAsia" w:hAnsiTheme="minorEastAsia" w:eastAsiaTheme="minorEastAsia"/>
                <w:color w:val="000000"/>
                <w:szCs w:val="18"/>
              </w:rPr>
              <w:t>须满足</w:t>
            </w:r>
            <w:r>
              <w:rPr>
                <w:rFonts w:cs="宋体" w:asciiTheme="minorEastAsia" w:hAnsiTheme="minorEastAsia" w:eastAsiaTheme="minorEastAsia"/>
                <w:color w:val="000000"/>
                <w:szCs w:val="18"/>
              </w:rPr>
              <w:t>3</w:t>
            </w:r>
            <w:r>
              <w:rPr>
                <w:rFonts w:hint="eastAsia" w:cs="宋体" w:asciiTheme="minorEastAsia" w:hAnsiTheme="minorEastAsia" w:eastAsiaTheme="minorEastAsia"/>
                <w:color w:val="000000"/>
                <w:szCs w:val="18"/>
              </w:rPr>
              <w:t>个及以上卡槽，同时支持</w:t>
            </w:r>
            <w:r>
              <w:rPr>
                <w:rFonts w:cs="宋体" w:asciiTheme="minorEastAsia" w:hAnsiTheme="minorEastAsia" w:eastAsiaTheme="minorEastAsia"/>
                <w:color w:val="000000"/>
                <w:szCs w:val="18"/>
              </w:rPr>
              <w:t>2</w:t>
            </w:r>
            <w:r>
              <w:rPr>
                <w:rFonts w:hint="eastAsia" w:cs="宋体" w:asciiTheme="minorEastAsia" w:hAnsiTheme="minorEastAsia" w:eastAsiaTheme="minorEastAsia"/>
                <w:color w:val="000000"/>
                <w:szCs w:val="18"/>
              </w:rPr>
              <w:t>张SIM卡和1张TF卡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1</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重量</w:t>
            </w:r>
          </w:p>
        </w:tc>
        <w:tc>
          <w:tcPr>
            <w:tcW w:w="6573" w:type="dxa"/>
            <w:vAlign w:val="center"/>
          </w:tcPr>
          <w:p>
            <w:pPr>
              <w:contextualSpacing/>
              <w:jc w:val="left"/>
              <w:rPr>
                <w:rFonts w:cs="Lucida Sans Unicode" w:asciiTheme="minorEastAsia" w:hAnsiTheme="minorEastAsia" w:eastAsiaTheme="minorEastAsia"/>
                <w:b/>
                <w:szCs w:val="18"/>
              </w:rPr>
            </w:pPr>
            <w:r>
              <w:rPr>
                <w:rFonts w:hint="eastAsia" w:cs="Lucida Sans Unicode" w:asciiTheme="minorEastAsia" w:hAnsiTheme="minorEastAsia" w:eastAsiaTheme="minorEastAsia"/>
                <w:szCs w:val="18"/>
              </w:rPr>
              <w:t>≤</w:t>
            </w:r>
            <w:r>
              <w:rPr>
                <w:rFonts w:cs="Lucida Sans Unicode" w:asciiTheme="minorEastAsia" w:hAnsiTheme="minorEastAsia" w:eastAsiaTheme="minorEastAsia"/>
                <w:szCs w:val="18"/>
              </w:rPr>
              <w:t>230g 含标准电</w:t>
            </w:r>
            <w:r>
              <w:rPr>
                <w:rFonts w:asciiTheme="minorEastAsia" w:hAnsiTheme="minorEastAsia" w:eastAsiaTheme="minorEastAsia"/>
                <w:szCs w:val="18"/>
              </w:rPr>
              <w:t>池</w:t>
            </w:r>
            <w:r>
              <w:rPr>
                <w:rFonts w:hint="eastAsia" w:asciiTheme="minorEastAsia" w:hAnsiTheme="minorEastAsia" w:eastAsiaTheme="minorEastAsia"/>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2</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尺寸</w:t>
            </w:r>
          </w:p>
        </w:tc>
        <w:tc>
          <w:tcPr>
            <w:tcW w:w="6573" w:type="dxa"/>
            <w:vAlign w:val="center"/>
          </w:tcPr>
          <w:p>
            <w:pPr>
              <w:contextualSpacing/>
              <w:jc w:val="left"/>
              <w:rPr>
                <w:rFonts w:cs="Lucida Sans Unicode" w:asciiTheme="minorEastAsia" w:hAnsiTheme="minorEastAsia" w:eastAsiaTheme="minorEastAsia"/>
                <w:szCs w:val="18"/>
              </w:rPr>
            </w:pPr>
            <w:r>
              <w:rPr>
                <w:rFonts w:hint="eastAsia" w:cs="Lucida Sans Unicode" w:asciiTheme="minorEastAsia" w:hAnsiTheme="minorEastAsia" w:eastAsiaTheme="minorEastAsia"/>
                <w:szCs w:val="18"/>
              </w:rPr>
              <w:t>≤153mm*76mm*13mm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asciiTheme="minorEastAsia" w:hAnsiTheme="minorEastAsia" w:eastAsiaTheme="minorEastAsia"/>
                <w:szCs w:val="18"/>
              </w:rPr>
              <w:t>13</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键盘</w:t>
            </w:r>
          </w:p>
        </w:tc>
        <w:tc>
          <w:tcPr>
            <w:tcW w:w="6573" w:type="dxa"/>
            <w:vAlign w:val="center"/>
          </w:tcPr>
          <w:p>
            <w:pPr>
              <w:contextualSpacing/>
              <w:jc w:val="left"/>
              <w:rPr>
                <w:rFonts w:cs="Lucida Sans Unicode" w:asciiTheme="minorEastAsia" w:hAnsiTheme="minorEastAsia" w:eastAsiaTheme="minorEastAsia"/>
                <w:szCs w:val="18"/>
              </w:rPr>
            </w:pPr>
            <w:r>
              <w:rPr>
                <w:rFonts w:hint="eastAsia" w:asciiTheme="minorEastAsia" w:hAnsiTheme="minorEastAsia" w:eastAsiaTheme="minorEastAsia"/>
                <w:szCs w:val="18"/>
                <w:lang w:bidi="en-US"/>
              </w:rPr>
              <w:t>为便于消毒清洗设备正面必须为触控按键，不得有实体按键；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4</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防摔抗震</w:t>
            </w:r>
          </w:p>
        </w:tc>
        <w:tc>
          <w:tcPr>
            <w:tcW w:w="6573" w:type="dxa"/>
            <w:vAlign w:val="center"/>
          </w:tcPr>
          <w:p>
            <w:pPr>
              <w:contextualSpacing/>
              <w:jc w:val="left"/>
              <w:rPr>
                <w:rFonts w:asciiTheme="minorEastAsia" w:hAnsiTheme="minorEastAsia" w:eastAsiaTheme="minorEastAsia"/>
                <w:szCs w:val="18"/>
              </w:rPr>
            </w:pPr>
            <w:r>
              <w:rPr>
                <w:rFonts w:hint="eastAsia" w:asciiTheme="minorEastAsia" w:hAnsiTheme="minorEastAsia" w:eastAsiaTheme="minorEastAsia"/>
                <w:szCs w:val="18"/>
              </w:rPr>
              <w:t>可承受</w:t>
            </w:r>
            <w:r>
              <w:rPr>
                <w:rFonts w:asciiTheme="minorEastAsia" w:hAnsiTheme="minorEastAsia" w:eastAsiaTheme="minorEastAsia"/>
                <w:szCs w:val="18"/>
              </w:rPr>
              <w:t>1.</w:t>
            </w:r>
            <w:r>
              <w:rPr>
                <w:rFonts w:hint="eastAsia" w:asciiTheme="minorEastAsia" w:hAnsiTheme="minorEastAsia" w:eastAsiaTheme="minorEastAsia"/>
                <w:szCs w:val="18"/>
              </w:rPr>
              <w:t>5</w:t>
            </w:r>
            <w:r>
              <w:rPr>
                <w:rFonts w:asciiTheme="minorEastAsia" w:hAnsiTheme="minorEastAsia" w:eastAsiaTheme="minorEastAsia"/>
                <w:szCs w:val="18"/>
              </w:rPr>
              <w:t>m高处到地面的多次跌落，室温下6个面每面不少于2次跌落</w:t>
            </w:r>
            <w:r>
              <w:rPr>
                <w:rFonts w:hint="eastAsia" w:asciiTheme="minorEastAsia" w:hAnsiTheme="minorEastAsia" w:eastAsiaTheme="minorEastAsia"/>
                <w:szCs w:val="18"/>
              </w:rPr>
              <w:t>（需提供第三方机构出具跌落测试报告复印件，其委托单位必须为投标产品原厂商）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5</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外壳材料</w:t>
            </w:r>
          </w:p>
        </w:tc>
        <w:tc>
          <w:tcPr>
            <w:tcW w:w="6573" w:type="dxa"/>
            <w:vAlign w:val="center"/>
          </w:tcPr>
          <w:p>
            <w:pPr>
              <w:contextualSpacing/>
              <w:jc w:val="left"/>
              <w:rPr>
                <w:rFonts w:asciiTheme="minorEastAsia" w:hAnsiTheme="minorEastAsia" w:eastAsiaTheme="minorEastAsia"/>
                <w:szCs w:val="18"/>
              </w:rPr>
            </w:pPr>
            <w:r>
              <w:rPr>
                <w:rFonts w:hint="eastAsia" w:asciiTheme="minorEastAsia" w:hAnsiTheme="minorEastAsia" w:eastAsiaTheme="minorEastAsia"/>
                <w:szCs w:val="18"/>
              </w:rPr>
              <w:t>白色抑菌材料，可耐受医用酒精、过氧化氢、丙乙醇、聚维酮碘等医院常用消毒剂（含屏幕部分），并提供第三方耐医用酒精和医用过氧化氢擦拭的检测报告；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6</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防水防尘工业等级</w:t>
            </w:r>
          </w:p>
        </w:tc>
        <w:tc>
          <w:tcPr>
            <w:tcW w:w="6573" w:type="dxa"/>
            <w:vAlign w:val="center"/>
          </w:tcPr>
          <w:p>
            <w:pPr>
              <w:contextualSpacing/>
              <w:jc w:val="left"/>
              <w:rPr>
                <w:rFonts w:asciiTheme="minorEastAsia" w:hAnsiTheme="minorEastAsia" w:eastAsiaTheme="minorEastAsia"/>
                <w:szCs w:val="18"/>
              </w:rPr>
            </w:pPr>
            <w:r>
              <w:rPr>
                <w:rFonts w:hint="eastAsia" w:asciiTheme="minorEastAsia" w:hAnsiTheme="minorEastAsia" w:eastAsiaTheme="minorEastAsia"/>
                <w:szCs w:val="18"/>
              </w:rPr>
              <w:t>≥IP67，提供认证证书或检测报告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7</w:t>
            </w:r>
          </w:p>
        </w:tc>
        <w:tc>
          <w:tcPr>
            <w:tcW w:w="972" w:type="dxa"/>
            <w:vMerge w:val="restart"/>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网络参数</w:t>
            </w: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W</w:t>
            </w:r>
            <w:r>
              <w:rPr>
                <w:rFonts w:asciiTheme="minorEastAsia" w:hAnsiTheme="minorEastAsia" w:eastAsiaTheme="minorEastAsia"/>
                <w:szCs w:val="18"/>
              </w:rPr>
              <w:t>IFI</w:t>
            </w:r>
            <w:r>
              <w:rPr>
                <w:rFonts w:hint="eastAsia" w:asciiTheme="minorEastAsia" w:hAnsiTheme="minorEastAsia" w:eastAsiaTheme="minorEastAsia"/>
                <w:szCs w:val="18"/>
              </w:rPr>
              <w:t>网络</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支持</w:t>
            </w:r>
            <w:r>
              <w:rPr>
                <w:rFonts w:asciiTheme="minorEastAsia" w:hAnsiTheme="minorEastAsia" w:eastAsiaTheme="minorEastAsia"/>
                <w:szCs w:val="18"/>
              </w:rPr>
              <w:t>802.11a/b/g/n/</w:t>
            </w:r>
            <w:r>
              <w:rPr>
                <w:rFonts w:hint="eastAsia" w:asciiTheme="minorEastAsia" w:hAnsiTheme="minorEastAsia" w:eastAsiaTheme="minorEastAsia"/>
                <w:szCs w:val="18"/>
              </w:rPr>
              <w:t>ac协议，2</w:t>
            </w:r>
            <w:r>
              <w:rPr>
                <w:rFonts w:asciiTheme="minorEastAsia" w:hAnsiTheme="minorEastAsia" w:eastAsiaTheme="minorEastAsia"/>
                <w:szCs w:val="18"/>
              </w:rPr>
              <w:t>.4G/5G</w:t>
            </w:r>
            <w:r>
              <w:rPr>
                <w:rFonts w:hint="eastAsia" w:asciiTheme="minorEastAsia" w:hAnsiTheme="minorEastAsia" w:eastAsiaTheme="minorEastAsia"/>
                <w:szCs w:val="18"/>
              </w:rPr>
              <w:t>双频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8</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asciiTheme="minorEastAsia" w:hAnsiTheme="minorEastAsia" w:eastAsiaTheme="minorEastAsia"/>
                <w:szCs w:val="18"/>
              </w:rPr>
              <w:t>4G</w:t>
            </w:r>
            <w:r>
              <w:rPr>
                <w:rFonts w:hint="eastAsia" w:asciiTheme="minorEastAsia" w:hAnsiTheme="minorEastAsia" w:eastAsiaTheme="minorEastAsia"/>
                <w:szCs w:val="18"/>
              </w:rPr>
              <w:t>网络</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支持</w:t>
            </w:r>
            <w:r>
              <w:rPr>
                <w:rFonts w:asciiTheme="minorEastAsia" w:hAnsiTheme="minorEastAsia" w:eastAsiaTheme="minorEastAsia"/>
                <w:szCs w:val="18"/>
              </w:rPr>
              <w:t>4G</w:t>
            </w:r>
            <w:r>
              <w:rPr>
                <w:rFonts w:hint="eastAsia" w:asciiTheme="minorEastAsia" w:hAnsiTheme="minorEastAsia" w:eastAsiaTheme="minorEastAsia"/>
                <w:szCs w:val="18"/>
              </w:rPr>
              <w:t>全网通；双卡双待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1</w:t>
            </w:r>
            <w:r>
              <w:rPr>
                <w:rFonts w:asciiTheme="minorEastAsia" w:hAnsiTheme="minorEastAsia" w:eastAsiaTheme="minorEastAsia"/>
                <w:szCs w:val="18"/>
              </w:rPr>
              <w:t>9</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asciiTheme="minorEastAsia" w:hAnsiTheme="minorEastAsia" w:eastAsiaTheme="minorEastAsia"/>
                <w:szCs w:val="18"/>
              </w:rPr>
              <w:t>定位系统</w:t>
            </w:r>
          </w:p>
        </w:tc>
        <w:tc>
          <w:tcPr>
            <w:tcW w:w="6573" w:type="dxa"/>
            <w:vAlign w:val="center"/>
          </w:tcPr>
          <w:p>
            <w:pPr>
              <w:jc w:val="left"/>
              <w:rPr>
                <w:rFonts w:asciiTheme="minorEastAsia" w:hAnsiTheme="minorEastAsia" w:eastAsiaTheme="minorEastAsia"/>
                <w:szCs w:val="18"/>
              </w:rPr>
            </w:pPr>
            <w:r>
              <w:rPr>
                <w:rFonts w:asciiTheme="minorEastAsia" w:hAnsiTheme="minorEastAsia" w:eastAsiaTheme="minorEastAsia"/>
                <w:szCs w:val="18"/>
              </w:rPr>
              <w:t>支持主流定位服务</w:t>
            </w:r>
            <w:r>
              <w:rPr>
                <w:rFonts w:hint="eastAsia" w:asciiTheme="minorEastAsia" w:hAnsiTheme="minorEastAsia" w:eastAsiaTheme="minorEastAsia"/>
                <w:szCs w:val="18"/>
              </w:rPr>
              <w:t>，</w:t>
            </w:r>
            <w:r>
              <w:rPr>
                <w:rFonts w:asciiTheme="minorEastAsia" w:hAnsiTheme="minorEastAsia" w:eastAsiaTheme="minorEastAsia"/>
                <w:szCs w:val="18"/>
              </w:rPr>
              <w:t>GPS</w:t>
            </w:r>
            <w:r>
              <w:rPr>
                <w:rFonts w:hint="eastAsia" w:asciiTheme="minorEastAsia" w:hAnsiTheme="minorEastAsia" w:eastAsiaTheme="minorEastAsia"/>
                <w:szCs w:val="18"/>
              </w:rPr>
              <w:t>，</w:t>
            </w:r>
            <w:r>
              <w:rPr>
                <w:rFonts w:asciiTheme="minorEastAsia" w:hAnsiTheme="minorEastAsia" w:eastAsiaTheme="minorEastAsia"/>
                <w:szCs w:val="18"/>
              </w:rPr>
              <w:t>北斗等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0</w:t>
            </w:r>
          </w:p>
        </w:tc>
        <w:tc>
          <w:tcPr>
            <w:tcW w:w="972" w:type="dxa"/>
            <w:vMerge w:val="restart"/>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数据采集</w:t>
            </w: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条码扫描引擎</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专业条码解码引擎，支持一维条码和二维条码读取，</w:t>
            </w:r>
            <w:r>
              <w:rPr>
                <w:rFonts w:hint="eastAsia" w:asciiTheme="minorEastAsia" w:hAnsiTheme="minorEastAsia" w:eastAsiaTheme="minorEastAsia"/>
                <w:szCs w:val="18"/>
                <w:lang w:bidi="en-US"/>
              </w:rPr>
              <w:t>扫描引擎要求由PDA厂家原厂生产，需提供相关专利证明文件；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1</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kern w:val="0"/>
                <w:szCs w:val="18"/>
                <w:lang w:val="zh-CN"/>
              </w:rPr>
              <w:t>G</w:t>
            </w:r>
            <w:r>
              <w:rPr>
                <w:rFonts w:asciiTheme="minorEastAsia" w:hAnsiTheme="minorEastAsia" w:eastAsiaTheme="minorEastAsia"/>
                <w:kern w:val="0"/>
                <w:szCs w:val="18"/>
                <w:lang w:val="zh-CN"/>
              </w:rPr>
              <w:t>S1</w:t>
            </w:r>
            <w:r>
              <w:rPr>
                <w:rFonts w:hint="eastAsia" w:asciiTheme="minorEastAsia" w:hAnsiTheme="minorEastAsia" w:eastAsiaTheme="minorEastAsia"/>
                <w:kern w:val="0"/>
                <w:szCs w:val="18"/>
                <w:lang w:val="zh-CN"/>
              </w:rPr>
              <w:t>条码读取</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支持</w:t>
            </w:r>
            <w:r>
              <w:rPr>
                <w:rFonts w:asciiTheme="minorEastAsia" w:hAnsiTheme="minorEastAsia" w:eastAsiaTheme="minorEastAsia"/>
                <w:szCs w:val="18"/>
              </w:rPr>
              <w:t>GS</w:t>
            </w:r>
            <w:r>
              <w:rPr>
                <w:rFonts w:hint="eastAsia" w:asciiTheme="minorEastAsia" w:hAnsiTheme="minorEastAsia" w:eastAsiaTheme="minorEastAsia"/>
                <w:szCs w:val="18"/>
              </w:rPr>
              <w:t>1条码识别，扫描工具同步支持设置GS</w:t>
            </w:r>
            <w:r>
              <w:rPr>
                <w:rFonts w:asciiTheme="minorEastAsia" w:hAnsiTheme="minorEastAsia" w:eastAsiaTheme="minorEastAsia"/>
                <w:szCs w:val="18"/>
              </w:rPr>
              <w:t>1</w:t>
            </w:r>
            <w:r>
              <w:rPr>
                <w:rFonts w:hint="eastAsia" w:asciiTheme="minorEastAsia" w:hAnsiTheme="minorEastAsia" w:eastAsiaTheme="minorEastAsia"/>
                <w:szCs w:val="18"/>
              </w:rPr>
              <w:t>应用标识分隔符开关功能</w:t>
            </w:r>
            <w:r>
              <w:rPr>
                <w:rFonts w:hint="eastAsia" w:asciiTheme="minorEastAsia" w:hAnsiTheme="minorEastAsia" w:eastAsiaTheme="minorEastAsia"/>
                <w:color w:val="000000" w:themeColor="text1"/>
                <w:szCs w:val="18"/>
                <w14:textFill>
                  <w14:solidFill>
                    <w14:schemeClr w14:val="tx1"/>
                  </w14:solidFill>
                </w14:textFill>
              </w:rPr>
              <w:t>（需提供功能截图证明文件）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2</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准心扫描</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可实现P</w:t>
            </w:r>
            <w:r>
              <w:rPr>
                <w:rFonts w:asciiTheme="minorEastAsia" w:hAnsiTheme="minorEastAsia" w:eastAsiaTheme="minorEastAsia"/>
                <w:szCs w:val="18"/>
              </w:rPr>
              <w:t>DA</w:t>
            </w:r>
            <w:r>
              <w:rPr>
                <w:rFonts w:hint="eastAsia" w:asciiTheme="minorEastAsia" w:hAnsiTheme="minorEastAsia" w:eastAsiaTheme="minorEastAsia"/>
                <w:szCs w:val="18"/>
              </w:rPr>
              <w:t>准心扫描，防止相邻条码的误读（需提供功能截图证明文件）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3</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扫描按键</w:t>
            </w:r>
          </w:p>
        </w:tc>
        <w:tc>
          <w:tcPr>
            <w:tcW w:w="6573" w:type="dxa"/>
            <w:vAlign w:val="center"/>
          </w:tcPr>
          <w:p>
            <w:pPr>
              <w:jc w:val="left"/>
              <w:rPr>
                <w:rFonts w:asciiTheme="minorEastAsia" w:hAnsiTheme="minorEastAsia" w:eastAsiaTheme="minorEastAsia"/>
                <w:szCs w:val="18"/>
              </w:rPr>
            </w:pPr>
            <w:r>
              <w:rPr>
                <w:rFonts w:hint="eastAsia" w:asciiTheme="minorEastAsia" w:hAnsiTheme="minorEastAsia" w:eastAsiaTheme="minorEastAsia"/>
                <w:szCs w:val="18"/>
              </w:rPr>
              <w:t>同时支持左右两侧实体扫描按键及屏幕虚拟扫描按键（需提供虚拟扫描按键功能截图证明文件）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4</w:t>
            </w:r>
          </w:p>
        </w:tc>
        <w:tc>
          <w:tcPr>
            <w:tcW w:w="972" w:type="dxa"/>
            <w:vMerge w:val="restart"/>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软件平台</w:t>
            </w:r>
          </w:p>
        </w:tc>
        <w:tc>
          <w:tcPr>
            <w:tcW w:w="1525"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操作系统</w:t>
            </w:r>
          </w:p>
        </w:tc>
        <w:tc>
          <w:tcPr>
            <w:tcW w:w="6573" w:type="dxa"/>
            <w:vAlign w:val="center"/>
          </w:tcPr>
          <w:p>
            <w:pPr>
              <w:jc w:val="left"/>
              <w:rPr>
                <w:rFonts w:asciiTheme="minorEastAsia" w:hAnsiTheme="minorEastAsia" w:eastAsiaTheme="minorEastAsia"/>
                <w:szCs w:val="18"/>
              </w:rPr>
            </w:pPr>
            <w:r>
              <w:rPr>
                <w:rFonts w:asciiTheme="minorEastAsia" w:hAnsiTheme="minorEastAsia" w:eastAsiaTheme="minorEastAsia"/>
                <w:szCs w:val="18"/>
              </w:rPr>
              <w:t>Android 9.0</w:t>
            </w:r>
            <w:r>
              <w:rPr>
                <w:rFonts w:hint="eastAsia" w:asciiTheme="minorEastAsia" w:hAnsiTheme="minorEastAsia" w:eastAsiaTheme="minorEastAsia"/>
                <w:szCs w:val="18"/>
              </w:rPr>
              <w:t>或</w:t>
            </w:r>
            <w:r>
              <w:rPr>
                <w:rFonts w:asciiTheme="minorEastAsia" w:hAnsiTheme="minorEastAsia" w:eastAsiaTheme="minorEastAsia"/>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5</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安全管理桌面</w:t>
            </w:r>
          </w:p>
        </w:tc>
        <w:tc>
          <w:tcPr>
            <w:tcW w:w="6573" w:type="dxa"/>
            <w:vAlign w:val="center"/>
          </w:tcPr>
          <w:p>
            <w:pPr>
              <w:contextualSpacing/>
              <w:jc w:val="left"/>
              <w:rPr>
                <w:rFonts w:asciiTheme="minorEastAsia" w:hAnsiTheme="minorEastAsia" w:eastAsiaTheme="minorEastAsia"/>
                <w:szCs w:val="18"/>
              </w:rPr>
            </w:pPr>
            <w:r>
              <w:rPr>
                <w:rFonts w:hint="eastAsia" w:asciiTheme="minorEastAsia" w:hAnsiTheme="minorEastAsia" w:eastAsiaTheme="minorEastAsia"/>
                <w:szCs w:val="18"/>
              </w:rPr>
              <w:t>系统自带安全管理桌面，限制使用指定APP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6</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网络安全管理</w:t>
            </w:r>
          </w:p>
        </w:tc>
        <w:tc>
          <w:tcPr>
            <w:tcW w:w="6573" w:type="dxa"/>
            <w:vAlign w:val="center"/>
          </w:tcPr>
          <w:p>
            <w:pPr>
              <w:contextualSpacing/>
              <w:jc w:val="left"/>
              <w:rPr>
                <w:rFonts w:asciiTheme="minorEastAsia" w:hAnsiTheme="minorEastAsia" w:eastAsiaTheme="minorEastAsia"/>
                <w:szCs w:val="18"/>
              </w:rPr>
            </w:pPr>
            <w:r>
              <w:rPr>
                <w:rFonts w:hint="eastAsia" w:asciiTheme="minorEastAsia" w:hAnsiTheme="minorEastAsia" w:eastAsiaTheme="minorEastAsia"/>
                <w:szCs w:val="18"/>
              </w:rPr>
              <w:t>不借助任何第三方软件</w:t>
            </w:r>
            <w:r>
              <w:rPr>
                <w:rFonts w:hint="eastAsia" w:cs="宋体" w:asciiTheme="minorEastAsia" w:hAnsiTheme="minorEastAsia" w:eastAsiaTheme="minorEastAsia"/>
                <w:color w:val="000000" w:themeColor="text1"/>
                <w:kern w:val="0"/>
                <w:szCs w:val="18"/>
                <w14:textFill>
                  <w14:solidFill>
                    <w14:schemeClr w14:val="tx1"/>
                  </w14:solidFill>
                </w14:textFill>
              </w:rPr>
              <w:t>实现添加网络白（黑）名单功能，屏蔽非法网络</w:t>
            </w:r>
            <w:r>
              <w:rPr>
                <w:rFonts w:hint="eastAsia" w:asciiTheme="minorEastAsia" w:hAnsiTheme="minorEastAsia" w:eastAsiaTheme="minorEastAsia"/>
                <w:szCs w:val="18"/>
              </w:rPr>
              <w:t>，确保设备院内医疗使用。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7</w:t>
            </w:r>
          </w:p>
        </w:tc>
        <w:tc>
          <w:tcPr>
            <w:tcW w:w="972" w:type="dxa"/>
            <w:vMerge w:val="continue"/>
            <w:vAlign w:val="center"/>
          </w:tcPr>
          <w:p>
            <w:pPr>
              <w:jc w:val="center"/>
              <w:rPr>
                <w:rFonts w:asciiTheme="minorEastAsia" w:hAnsiTheme="minorEastAsia" w:eastAsiaTheme="minorEastAsia"/>
                <w:szCs w:val="18"/>
              </w:rPr>
            </w:pPr>
          </w:p>
        </w:tc>
        <w:tc>
          <w:tcPr>
            <w:tcW w:w="1525" w:type="dxa"/>
            <w:vAlign w:val="center"/>
          </w:tcPr>
          <w:p>
            <w:pPr>
              <w:contextualSpacing/>
              <w:jc w:val="center"/>
              <w:rPr>
                <w:rFonts w:asciiTheme="minorEastAsia" w:hAnsiTheme="minorEastAsia" w:eastAsiaTheme="minorEastAsia"/>
                <w:szCs w:val="18"/>
              </w:rPr>
            </w:pPr>
            <w:r>
              <w:rPr>
                <w:rFonts w:hint="eastAsia" w:cs="宋体" w:asciiTheme="minorEastAsia" w:hAnsiTheme="minorEastAsia" w:eastAsiaTheme="minorEastAsia"/>
                <w:color w:val="000000" w:themeColor="text1"/>
                <w:kern w:val="0"/>
                <w:szCs w:val="18"/>
                <w14:textFill>
                  <w14:solidFill>
                    <w14:schemeClr w14:val="tx1"/>
                  </w14:solidFill>
                </w14:textFill>
              </w:rPr>
              <w:t>系统安全设计</w:t>
            </w:r>
          </w:p>
        </w:tc>
        <w:tc>
          <w:tcPr>
            <w:tcW w:w="6573" w:type="dxa"/>
            <w:vAlign w:val="center"/>
          </w:tcPr>
          <w:p>
            <w:pPr>
              <w:contextualSpacing/>
              <w:rPr>
                <w:rFonts w:asciiTheme="minorEastAsia" w:hAnsiTheme="minorEastAsia" w:eastAsiaTheme="minorEastAsia"/>
                <w:szCs w:val="18"/>
              </w:rPr>
            </w:pPr>
            <w:r>
              <w:rPr>
                <w:rFonts w:hint="eastAsia" w:cs="宋体" w:asciiTheme="minorEastAsia" w:hAnsiTheme="minorEastAsia" w:eastAsiaTheme="minorEastAsia"/>
                <w:color w:val="000000" w:themeColor="text1"/>
                <w:kern w:val="0"/>
                <w:szCs w:val="18"/>
                <w14:textFill>
                  <w14:solidFill>
                    <w14:schemeClr w14:val="tx1"/>
                  </w14:solidFill>
                </w14:textFill>
              </w:rPr>
              <w:t>具有密码验证机制，在安装新的APP需要输入密码方可确认、可设置APP使用权限，禁止使用非法APP应用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8</w:t>
            </w:r>
          </w:p>
        </w:tc>
        <w:tc>
          <w:tcPr>
            <w:tcW w:w="972" w:type="dxa"/>
            <w:vMerge w:val="restart"/>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其他</w:t>
            </w:r>
          </w:p>
        </w:tc>
        <w:tc>
          <w:tcPr>
            <w:tcW w:w="1525" w:type="dxa"/>
            <w:vMerge w:val="restart"/>
            <w:vAlign w:val="center"/>
          </w:tcPr>
          <w:p>
            <w:pPr>
              <w:contextualSpacing/>
              <w:jc w:val="center"/>
              <w:rPr>
                <w:rFonts w:asciiTheme="minorEastAsia" w:hAnsiTheme="minorEastAsia" w:eastAsiaTheme="minorEastAsia"/>
                <w:szCs w:val="18"/>
              </w:rPr>
            </w:pPr>
            <w:r>
              <w:rPr>
                <w:rFonts w:hint="eastAsia" w:asciiTheme="minorEastAsia" w:hAnsiTheme="minorEastAsia" w:eastAsiaTheme="minorEastAsia"/>
                <w:szCs w:val="18"/>
              </w:rPr>
              <w:t>认证</w:t>
            </w:r>
          </w:p>
        </w:tc>
        <w:tc>
          <w:tcPr>
            <w:tcW w:w="6573" w:type="dxa"/>
            <w:vAlign w:val="center"/>
          </w:tcPr>
          <w:p>
            <w:pPr>
              <w:contextualSpacing/>
              <w:rPr>
                <w:rFonts w:asciiTheme="minorEastAsia" w:hAnsiTheme="minorEastAsia" w:eastAsiaTheme="minorEastAsia"/>
                <w:szCs w:val="18"/>
              </w:rPr>
            </w:pPr>
            <w:r>
              <w:rPr>
                <w:rFonts w:hint="eastAsia" w:asciiTheme="minorEastAsia" w:hAnsiTheme="minorEastAsia" w:eastAsiaTheme="minorEastAsia"/>
                <w:szCs w:val="18"/>
              </w:rPr>
              <w:t>CCC认证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2</w:t>
            </w:r>
            <w:r>
              <w:rPr>
                <w:rFonts w:asciiTheme="minorEastAsia" w:hAnsiTheme="minorEastAsia" w:eastAsiaTheme="minorEastAsia"/>
                <w:szCs w:val="18"/>
              </w:rPr>
              <w:t>9</w:t>
            </w:r>
          </w:p>
        </w:tc>
        <w:tc>
          <w:tcPr>
            <w:tcW w:w="972" w:type="dxa"/>
            <w:vMerge w:val="continue"/>
            <w:vAlign w:val="center"/>
          </w:tcPr>
          <w:p>
            <w:pPr>
              <w:jc w:val="center"/>
              <w:rPr>
                <w:rFonts w:asciiTheme="minorEastAsia" w:hAnsiTheme="minorEastAsia" w:eastAsiaTheme="minorEastAsia"/>
                <w:szCs w:val="18"/>
              </w:rPr>
            </w:pPr>
          </w:p>
        </w:tc>
        <w:tc>
          <w:tcPr>
            <w:tcW w:w="1525" w:type="dxa"/>
            <w:vMerge w:val="continue"/>
            <w:vAlign w:val="center"/>
          </w:tcPr>
          <w:p>
            <w:pPr>
              <w:contextualSpacing/>
              <w:jc w:val="center"/>
              <w:rPr>
                <w:rFonts w:asciiTheme="minorEastAsia" w:hAnsiTheme="minorEastAsia" w:eastAsiaTheme="minorEastAsia"/>
                <w:szCs w:val="18"/>
              </w:rPr>
            </w:pPr>
          </w:p>
        </w:tc>
        <w:tc>
          <w:tcPr>
            <w:tcW w:w="6573" w:type="dxa"/>
            <w:vAlign w:val="center"/>
          </w:tcPr>
          <w:p>
            <w:pPr>
              <w:contextualSpacing/>
              <w:rPr>
                <w:rFonts w:asciiTheme="minorEastAsia" w:hAnsiTheme="minorEastAsia" w:eastAsiaTheme="minorEastAsia"/>
                <w:szCs w:val="18"/>
              </w:rPr>
            </w:pPr>
            <w:r>
              <w:rPr>
                <w:rFonts w:hint="eastAsia" w:cs="宋体" w:asciiTheme="minorEastAsia" w:hAnsiTheme="minorEastAsia" w:eastAsiaTheme="minorEastAsia"/>
                <w:kern w:val="0"/>
                <w:szCs w:val="18"/>
              </w:rPr>
              <w:t>医疗安全规范:设备须符合医用电气设备安全通用要求标准，提供认证证书或者第三方检测报告复印件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3</w:t>
            </w:r>
            <w:r>
              <w:rPr>
                <w:rFonts w:asciiTheme="minorEastAsia" w:hAnsiTheme="minorEastAsia" w:eastAsiaTheme="minorEastAsia"/>
                <w:szCs w:val="18"/>
              </w:rPr>
              <w:t>0</w:t>
            </w:r>
          </w:p>
        </w:tc>
        <w:tc>
          <w:tcPr>
            <w:tcW w:w="972" w:type="dxa"/>
            <w:vMerge w:val="continue"/>
            <w:vAlign w:val="center"/>
          </w:tcPr>
          <w:p>
            <w:pPr>
              <w:jc w:val="center"/>
              <w:rPr>
                <w:rFonts w:asciiTheme="minorEastAsia" w:hAnsiTheme="minorEastAsia" w:eastAsiaTheme="minorEastAsia"/>
                <w:szCs w:val="18"/>
              </w:rPr>
            </w:pPr>
          </w:p>
        </w:tc>
        <w:tc>
          <w:tcPr>
            <w:tcW w:w="1525" w:type="dxa"/>
            <w:vMerge w:val="continue"/>
            <w:vAlign w:val="center"/>
          </w:tcPr>
          <w:p>
            <w:pPr>
              <w:contextualSpacing/>
              <w:jc w:val="center"/>
              <w:rPr>
                <w:rFonts w:asciiTheme="minorEastAsia" w:hAnsiTheme="minorEastAsia" w:eastAsiaTheme="minorEastAsia"/>
                <w:szCs w:val="18"/>
              </w:rPr>
            </w:pPr>
          </w:p>
        </w:tc>
        <w:tc>
          <w:tcPr>
            <w:tcW w:w="6573" w:type="dxa"/>
            <w:vAlign w:val="center"/>
          </w:tcPr>
          <w:p>
            <w:pPr>
              <w:contextualSpacing/>
              <w:rPr>
                <w:rFonts w:asciiTheme="minorEastAsia" w:hAnsiTheme="minorEastAsia" w:eastAsiaTheme="minorEastAsia"/>
                <w:szCs w:val="18"/>
              </w:rPr>
            </w:pPr>
            <w:r>
              <w:rPr>
                <w:rFonts w:hint="eastAsia" w:asciiTheme="minorEastAsia" w:hAnsiTheme="minorEastAsia" w:eastAsiaTheme="minorEastAsia"/>
                <w:szCs w:val="18"/>
              </w:rPr>
              <w:t>设备符合电子产品有害物限制使用的要求，提供CQC（中国质量认证中心）出具的认证证书复印件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3</w:t>
            </w:r>
            <w:r>
              <w:rPr>
                <w:rFonts w:asciiTheme="minorEastAsia" w:hAnsiTheme="minorEastAsia" w:eastAsiaTheme="minorEastAsia"/>
                <w:szCs w:val="18"/>
              </w:rPr>
              <w:t>1</w:t>
            </w:r>
          </w:p>
        </w:tc>
        <w:tc>
          <w:tcPr>
            <w:tcW w:w="972" w:type="dxa"/>
            <w:vMerge w:val="continue"/>
            <w:vAlign w:val="center"/>
          </w:tcPr>
          <w:p>
            <w:pPr>
              <w:jc w:val="center"/>
              <w:rPr>
                <w:rFonts w:asciiTheme="minorEastAsia" w:hAnsiTheme="minorEastAsia" w:eastAsiaTheme="minorEastAsia"/>
                <w:szCs w:val="18"/>
              </w:rPr>
            </w:pPr>
          </w:p>
        </w:tc>
        <w:tc>
          <w:tcPr>
            <w:tcW w:w="1525" w:type="dxa"/>
            <w:vMerge w:val="continue"/>
            <w:vAlign w:val="center"/>
          </w:tcPr>
          <w:p>
            <w:pPr>
              <w:contextualSpacing/>
              <w:jc w:val="center"/>
              <w:rPr>
                <w:rFonts w:asciiTheme="minorEastAsia" w:hAnsiTheme="minorEastAsia" w:eastAsiaTheme="minorEastAsia"/>
                <w:szCs w:val="18"/>
              </w:rPr>
            </w:pPr>
          </w:p>
        </w:tc>
        <w:tc>
          <w:tcPr>
            <w:tcW w:w="6573" w:type="dxa"/>
            <w:vAlign w:val="center"/>
          </w:tcPr>
          <w:p>
            <w:pPr>
              <w:contextualSpacing/>
              <w:rPr>
                <w:rFonts w:asciiTheme="minorEastAsia" w:hAnsiTheme="minorEastAsia" w:eastAsiaTheme="minorEastAsia"/>
                <w:szCs w:val="18"/>
              </w:rPr>
            </w:pPr>
            <w:r>
              <w:rPr>
                <w:rFonts w:hint="eastAsia" w:asciiTheme="minorEastAsia" w:hAnsiTheme="minorEastAsia" w:eastAsiaTheme="minorEastAsia"/>
                <w:szCs w:val="18"/>
              </w:rPr>
              <w:t>锂电池UN38.3安全检测报告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jc w:val="center"/>
              <w:rPr>
                <w:rFonts w:asciiTheme="minorEastAsia" w:hAnsiTheme="minorEastAsia" w:eastAsiaTheme="minorEastAsia"/>
                <w:szCs w:val="18"/>
              </w:rPr>
            </w:pPr>
            <w:r>
              <w:rPr>
                <w:rFonts w:hint="eastAsia" w:asciiTheme="minorEastAsia" w:hAnsiTheme="minorEastAsia" w:eastAsiaTheme="minorEastAsia"/>
                <w:szCs w:val="18"/>
              </w:rPr>
              <w:t>3</w:t>
            </w:r>
            <w:r>
              <w:rPr>
                <w:rFonts w:asciiTheme="minorEastAsia" w:hAnsiTheme="minorEastAsia" w:eastAsiaTheme="minorEastAsia"/>
                <w:szCs w:val="18"/>
              </w:rPr>
              <w:t>2</w:t>
            </w:r>
          </w:p>
        </w:tc>
        <w:tc>
          <w:tcPr>
            <w:tcW w:w="972" w:type="dxa"/>
            <w:vMerge w:val="continue"/>
            <w:vAlign w:val="center"/>
          </w:tcPr>
          <w:p>
            <w:pPr>
              <w:jc w:val="center"/>
              <w:rPr>
                <w:rFonts w:asciiTheme="minorEastAsia" w:hAnsiTheme="minorEastAsia" w:eastAsiaTheme="minorEastAsia"/>
                <w:szCs w:val="18"/>
              </w:rPr>
            </w:pPr>
          </w:p>
        </w:tc>
        <w:tc>
          <w:tcPr>
            <w:tcW w:w="1525" w:type="dxa"/>
            <w:vMerge w:val="continue"/>
            <w:vAlign w:val="center"/>
          </w:tcPr>
          <w:p>
            <w:pPr>
              <w:contextualSpacing/>
              <w:jc w:val="center"/>
              <w:rPr>
                <w:rFonts w:asciiTheme="minorEastAsia" w:hAnsiTheme="minorEastAsia" w:eastAsiaTheme="minorEastAsia"/>
                <w:szCs w:val="18"/>
              </w:rPr>
            </w:pPr>
          </w:p>
        </w:tc>
        <w:tc>
          <w:tcPr>
            <w:tcW w:w="6573" w:type="dxa"/>
            <w:vAlign w:val="center"/>
          </w:tcPr>
          <w:p>
            <w:pPr>
              <w:contextualSpacing/>
              <w:rPr>
                <w:rFonts w:asciiTheme="minorEastAsia" w:hAnsiTheme="minorEastAsia" w:eastAsiaTheme="minorEastAsia"/>
                <w:szCs w:val="18"/>
              </w:rPr>
            </w:pPr>
            <w:r>
              <w:rPr>
                <w:rFonts w:hint="eastAsia" w:cs="微软雅黑" w:asciiTheme="minorEastAsia" w:hAnsiTheme="minorEastAsia" w:eastAsiaTheme="minorEastAsia"/>
                <w:color w:val="000000"/>
                <w:kern w:val="0"/>
                <w:szCs w:val="18"/>
              </w:rPr>
              <w:t>所投设备厂商必须提供认证：1、职业健康安全管理体系认证证书，2、CNAS实验室认可证书，3、环境管理体系认证证书，4、信息安全管理体系认证</w:t>
            </w:r>
          </w:p>
        </w:tc>
      </w:tr>
    </w:tbl>
    <w:p>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p>
      <w:pPr>
        <w:rPr>
          <w:rFonts w:ascii="宋体" w:hAnsi="宋体" w:cs="宋体"/>
          <w:kern w:val="0"/>
          <w:sz w:val="28"/>
          <w:szCs w:val="28"/>
          <w:highlight w:val="yellow"/>
        </w:rPr>
      </w:pPr>
      <w:r>
        <w:rPr>
          <w:rFonts w:hint="eastAsia" w:ascii="宋体" w:hAnsi="宋体" w:cs="宋体"/>
          <w:kern w:val="0"/>
          <w:sz w:val="28"/>
          <w:szCs w:val="28"/>
          <w:highlight w:val="yellow"/>
        </w:rPr>
        <w:t>服务地点：医院指定地点</w:t>
      </w:r>
    </w:p>
    <w:p>
      <w:pPr>
        <w:rPr>
          <w:rFonts w:ascii="宋体" w:hAnsi="宋体" w:cs="宋体"/>
          <w:kern w:val="0"/>
          <w:sz w:val="28"/>
          <w:szCs w:val="28"/>
          <w:highlight w:val="yellow"/>
        </w:rPr>
      </w:pPr>
      <w:r>
        <w:rPr>
          <w:rFonts w:hint="eastAsia" w:ascii="宋体" w:hAnsi="宋体" w:cs="宋体"/>
          <w:kern w:val="0"/>
          <w:sz w:val="28"/>
          <w:szCs w:val="28"/>
          <w:highlight w:val="yellow"/>
        </w:rPr>
        <w:t>付款条件及方式：到货验收合格后一次性支付全部货款，提供服务承诺书。</w:t>
      </w:r>
    </w:p>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w:t>
      </w:r>
      <w:r>
        <w:rPr>
          <w:rFonts w:hint="eastAsia" w:ascii="宋体" w:hAnsi="宋体"/>
          <w:color w:val="FF0000"/>
          <w:kern w:val="0"/>
          <w:sz w:val="28"/>
          <w:szCs w:val="28"/>
          <w:lang w:val="en-US" w:eastAsia="zh-CN"/>
        </w:rPr>
        <w:t>一</w:t>
      </w:r>
      <w:r>
        <w:rPr>
          <w:rFonts w:hint="eastAsia" w:ascii="宋体" w:hAnsi="宋体"/>
          <w:color w:val="FF0000"/>
          <w:kern w:val="0"/>
          <w:sz w:val="28"/>
          <w:szCs w:val="28"/>
        </w:rPr>
        <w:t>份</w:t>
      </w:r>
      <w:r>
        <w:rPr>
          <w:rFonts w:hint="eastAsia" w:ascii="宋体" w:hAnsi="宋体"/>
          <w:color w:val="FF0000"/>
          <w:kern w:val="0"/>
          <w:sz w:val="28"/>
          <w:szCs w:val="28"/>
          <w:lang w:eastAsia="zh-CN"/>
        </w:rPr>
        <w:t>，</w:t>
      </w:r>
      <w:r>
        <w:rPr>
          <w:rFonts w:hint="eastAsia" w:ascii="宋体" w:hAnsi="宋体"/>
          <w:color w:val="FF0000"/>
          <w:kern w:val="0"/>
          <w:sz w:val="28"/>
          <w:szCs w:val="28"/>
          <w:lang w:val="en-US" w:eastAsia="zh-CN"/>
        </w:rPr>
        <w:t>与正本一致的副本一份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56291479"/>
      <w:bookmarkStart w:id="3" w:name="_Toc462487372"/>
      <w:bookmarkStart w:id="4" w:name="_Toc456291165"/>
      <w:bookmarkStart w:id="5" w:name="_Toc456291354"/>
      <w:bookmarkStart w:id="6" w:name="_Toc456291537"/>
      <w:bookmarkStart w:id="7" w:name="_Toc45629128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6"/>
        <w:jc w:val="center"/>
        <w:rPr>
          <w:rFonts w:ascii="黑体" w:hAnsi="黑体" w:eastAsia="黑体"/>
          <w:b/>
          <w:bCs/>
          <w:sz w:val="44"/>
          <w:szCs w:val="44"/>
        </w:rPr>
      </w:pPr>
    </w:p>
    <w:p>
      <w:pPr>
        <w:pStyle w:val="26"/>
        <w:jc w:val="center"/>
        <w:rPr>
          <w:rFonts w:ascii="黑体" w:hAnsi="黑体" w:eastAsia="黑体"/>
          <w:b/>
          <w:bCs/>
          <w:sz w:val="44"/>
          <w:szCs w:val="44"/>
        </w:rPr>
      </w:pPr>
    </w:p>
    <w:p>
      <w:pPr>
        <w:pStyle w:val="26"/>
        <w:rPr>
          <w:rFonts w:ascii="楷体_GB2312" w:eastAsia="楷体_GB2312"/>
          <w:b/>
          <w:bCs/>
          <w:sz w:val="54"/>
        </w:rPr>
      </w:pPr>
    </w:p>
    <w:p>
      <w:pPr>
        <w:pStyle w:val="26"/>
        <w:jc w:val="center"/>
        <w:rPr>
          <w:rFonts w:ascii="黑体" w:hAnsi="黑体" w:eastAsia="黑体"/>
          <w:b/>
          <w:bCs/>
          <w:sz w:val="88"/>
          <w:szCs w:val="88"/>
        </w:rPr>
      </w:pPr>
      <w:r>
        <w:rPr>
          <w:rFonts w:hint="eastAsia" w:ascii="黑体" w:hAnsi="黑体" w:eastAsia="黑体"/>
          <w:b/>
          <w:bCs/>
          <w:sz w:val="88"/>
          <w:szCs w:val="88"/>
        </w:rPr>
        <w:t>投标文件</w:t>
      </w:r>
    </w:p>
    <w:p>
      <w:pPr>
        <w:pStyle w:val="26"/>
        <w:spacing w:line="500" w:lineRule="exact"/>
        <w:rPr>
          <w:rFonts w:ascii="楷体_GB2312" w:eastAsia="楷体_GB2312"/>
          <w:b/>
          <w:sz w:val="32"/>
          <w:szCs w:val="32"/>
        </w:rPr>
      </w:pPr>
    </w:p>
    <w:p>
      <w:pPr>
        <w:pStyle w:val="26"/>
        <w:spacing w:line="500" w:lineRule="exact"/>
        <w:ind w:firstLine="562" w:firstLineChars="200"/>
        <w:rPr>
          <w:rFonts w:ascii="楷体_GB2312" w:eastAsia="楷体_GB2312"/>
          <w:b/>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rPr>
          <w:rFonts w:ascii="宋体" w:hAnsi="宋体"/>
          <w:szCs w:val="28"/>
        </w:rPr>
      </w:pP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8"/>
      </w:pPr>
      <w:r>
        <w:rPr>
          <w:rFonts w:hint="eastAsia"/>
        </w:rPr>
        <w:t xml:space="preserve">单位负责人资格证明文件 </w:t>
      </w:r>
    </w:p>
    <w:p>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rPr>
          <w:rFonts w:ascii="宋体" w:hAnsi="宋体"/>
          <w:szCs w:val="28"/>
        </w:rPr>
      </w:pPr>
    </w:p>
    <w:p>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8"/>
      </w:pPr>
      <w:r>
        <w:rPr>
          <w:rFonts w:hint="eastAsia"/>
        </w:rPr>
        <w:t xml:space="preserve">自然人资格证明文件 </w:t>
      </w:r>
    </w:p>
    <w:p>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ind w:left="0" w:firstLine="0"/>
        <w:rPr>
          <w:rFonts w:ascii="宋体" w:hAnsi="宋体"/>
          <w:szCs w:val="28"/>
        </w:rPr>
      </w:pPr>
    </w:p>
    <w:p>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8"/>
        <w:jc w:val="both"/>
        <w:rPr>
          <w:b w:val="0"/>
        </w:rPr>
      </w:pPr>
    </w:p>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8"/>
      </w:pPr>
      <w:r>
        <w:rPr>
          <w:rFonts w:hint="eastAsia"/>
        </w:rPr>
        <w:t>授权委托书</w:t>
      </w:r>
    </w:p>
    <w:p>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9"/>
        <w:spacing w:before="0" w:after="0" w:line="240" w:lineRule="auto"/>
        <w:ind w:left="0" w:firstLine="0"/>
        <w:rPr>
          <w:rFonts w:ascii="宋体" w:hAnsi="宋体"/>
          <w:szCs w:val="28"/>
        </w:rPr>
      </w:pPr>
      <w:r>
        <w:rPr>
          <w:rFonts w:hint="eastAsia" w:ascii="宋体" w:hAnsi="宋体"/>
          <w:szCs w:val="28"/>
        </w:rPr>
        <w:t>附：</w:t>
      </w:r>
    </w:p>
    <w:p>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szCs w:val="28"/>
              </w:rPr>
            </w:pPr>
            <w:r>
              <w:rPr>
                <w:rFonts w:hint="eastAsia" w:ascii="宋体" w:hAnsi="宋体"/>
                <w:szCs w:val="28"/>
              </w:rPr>
              <w:t>粘贴被授权人身份证（扫描件）</w:t>
            </w:r>
          </w:p>
          <w:p>
            <w:pPr>
              <w:pStyle w:val="29"/>
              <w:spacing w:line="500" w:lineRule="exact"/>
              <w:rPr>
                <w:rFonts w:ascii="宋体" w:hAnsi="宋体"/>
                <w:szCs w:val="28"/>
              </w:rPr>
            </w:pPr>
          </w:p>
        </w:tc>
      </w:tr>
    </w:tbl>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9"/>
        <w:spacing w:before="0" w:after="0" w:line="240" w:lineRule="auto"/>
        <w:ind w:left="1070" w:hanging="1069" w:hangingChars="382"/>
        <w:jc w:val="left"/>
        <w:rPr>
          <w:rFonts w:ascii="宋体" w:hAnsi="宋体"/>
          <w:kern w:val="0"/>
          <w:szCs w:val="28"/>
        </w:rPr>
      </w:pPr>
    </w:p>
    <w:p>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30"/>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4996F38"/>
    <w:rsid w:val="095167B8"/>
    <w:rsid w:val="0A03670D"/>
    <w:rsid w:val="16765552"/>
    <w:rsid w:val="170148CE"/>
    <w:rsid w:val="220B5E62"/>
    <w:rsid w:val="311A07D9"/>
    <w:rsid w:val="3ECF3E9B"/>
    <w:rsid w:val="47084839"/>
    <w:rsid w:val="4AD978D9"/>
    <w:rsid w:val="4AE95AC3"/>
    <w:rsid w:val="4B51068F"/>
    <w:rsid w:val="52DF154F"/>
    <w:rsid w:val="5B5E5AC4"/>
    <w:rsid w:val="5CD10E53"/>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autoRedefine/>
    <w:semiHidden/>
    <w:qFormat/>
    <w:uiPriority w:val="99"/>
    <w:rPr>
      <w:rFonts w:ascii="Times New Roman" w:hAnsi="Times New Roman" w:cs="Times New Roman"/>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D1C8-8EA3-4824-9C1B-280E3859FF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841</Words>
  <Characters>4796</Characters>
  <Lines>39</Lines>
  <Paragraphs>11</Paragraphs>
  <TotalTime>105</TotalTime>
  <ScaleCrop>false</ScaleCrop>
  <LinksUpToDate>false</LinksUpToDate>
  <CharactersWithSpaces>5626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2024-04-08T02:49:20Z</dcterms:modified>
  <dc:title>宜昌市中心人民医院</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AB610624AEC444F69EBAE991BA334F2D_13</vt:lpwstr>
  </property>
</Properties>
</file>