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宜昌市中心人民医院对伍家院区5号楼配电室增加开关柜</w:t>
      </w:r>
      <w:r>
        <w:rPr>
          <w:rFonts w:hint="eastAsia"/>
          <w:color w:val="000000"/>
          <w:sz w:val="28"/>
          <w:szCs w:val="28"/>
        </w:rPr>
        <w:t>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2024-A2019</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伍家院区5号楼配电室增加开关柜</w:t>
      </w:r>
      <w:r>
        <w:rPr>
          <w:rFonts w:hint="eastAsia"/>
          <w:color w:val="000000"/>
          <w:sz w:val="28"/>
          <w:szCs w:val="28"/>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【服务商根据自身情况提供对应的证明材料，此项资料除了投标文件中需提供外，额外放一份在密封完好的投标文件外面，投标时用于核对身份】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闫老师</w:t>
      </w:r>
    </w:p>
    <w:p>
      <w:pPr>
        <w:ind w:firstLine="560" w:firstLineChars="200"/>
        <w:jc w:val="left"/>
        <w:rPr>
          <w:rFonts w:hint="eastAsia" w:ascii="宋体" w:hAnsi="宋体" w:eastAsia="宋体" w:cs="宋体"/>
          <w:kern w:val="0"/>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 xml:space="preserve">/0717-6486583 </w:t>
      </w:r>
      <w:r>
        <w:rPr>
          <w:rFonts w:hint="eastAsia" w:ascii="宋体" w:hAnsi="宋体" w:cs="宋体"/>
          <w:kern w:val="0"/>
          <w:sz w:val="28"/>
          <w:szCs w:val="28"/>
        </w:rPr>
        <w:t>1589753925</w:t>
      </w:r>
      <w:r>
        <w:rPr>
          <w:rFonts w:hint="eastAsia" w:ascii="宋体" w:hAnsi="宋体" w:cs="宋体"/>
          <w:kern w:val="0"/>
          <w:sz w:val="28"/>
          <w:szCs w:val="28"/>
          <w:lang w:val="en-US" w:eastAsia="zh-CN"/>
        </w:rPr>
        <w:t>5</w:t>
      </w:r>
    </w:p>
    <w:p>
      <w:pPr>
        <w:widowControl/>
        <w:jc w:val="left"/>
        <w:rPr>
          <w:rFonts w:ascii="黑体" w:eastAsia="黑体" w:cs="黑体"/>
          <w:sz w:val="44"/>
          <w:szCs w:val="44"/>
        </w:rPr>
      </w:pPr>
      <w:r>
        <w:rPr>
          <w:rFonts w:ascii="黑体" w:eastAsia="黑体" w:cs="黑体"/>
          <w:sz w:val="44"/>
          <w:szCs w:val="44"/>
        </w:rPr>
        <w:br w:type="page"/>
      </w:r>
    </w:p>
    <w:p>
      <w:pPr>
        <w:jc w:val="center"/>
        <w:textAlignment w:val="baseline"/>
        <w:rPr>
          <w:rFonts w:ascii="黑体" w:eastAsia="黑体" w:cs="Times New Roman"/>
          <w:sz w:val="44"/>
          <w:szCs w:val="44"/>
        </w:rPr>
      </w:pPr>
      <w:r>
        <w:rPr>
          <w:rFonts w:hint="eastAsia" w:ascii="黑体" w:eastAsia="黑体" w:cs="黑体"/>
          <w:sz w:val="44"/>
          <w:szCs w:val="44"/>
        </w:rPr>
        <w:t>宜昌市中心人民医院</w:t>
      </w:r>
    </w:p>
    <w:p>
      <w:pPr>
        <w:jc w:val="center"/>
        <w:textAlignment w:val="baseline"/>
        <w:rPr>
          <w:rFonts w:ascii="黑体" w:eastAsia="黑体" w:cs="Times New Roman"/>
          <w:sz w:val="44"/>
          <w:szCs w:val="44"/>
        </w:rPr>
      </w:pPr>
      <w:r>
        <w:rPr>
          <w:rFonts w:hint="eastAsia" w:ascii="黑体" w:hAnsi="黑体" w:eastAsia="黑体" w:cs="黑体"/>
          <w:sz w:val="44"/>
        </w:rPr>
        <w:t>采购</w:t>
      </w:r>
      <w:r>
        <w:rPr>
          <w:rFonts w:hint="eastAsia" w:ascii="黑体" w:eastAsia="黑体" w:cs="黑体"/>
          <w:sz w:val="44"/>
          <w:szCs w:val="44"/>
        </w:rPr>
        <w:t>文件</w:t>
      </w:r>
    </w:p>
    <w:p>
      <w:pPr>
        <w:spacing w:line="500" w:lineRule="exact"/>
        <w:rPr>
          <w:rFonts w:ascii="宋体" w:cs="Times New Roman"/>
          <w:b/>
          <w:bCs/>
          <w:sz w:val="28"/>
          <w:szCs w:val="28"/>
        </w:rPr>
      </w:pPr>
      <w:r>
        <w:rPr>
          <w:rFonts w:hint="eastAsia" w:ascii="宋体" w:hAnsi="宋体" w:cs="宋体"/>
          <w:b/>
          <w:bCs/>
          <w:sz w:val="28"/>
          <w:szCs w:val="28"/>
        </w:rPr>
        <w:t>一、采购内容</w:t>
      </w:r>
    </w:p>
    <w:p>
      <w:pPr>
        <w:spacing w:line="500" w:lineRule="exact"/>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2024-A2019</w:t>
      </w:r>
    </w:p>
    <w:p>
      <w:pPr>
        <w:spacing w:line="500" w:lineRule="exact"/>
        <w:ind w:firstLine="630" w:firstLineChars="225"/>
        <w:rPr>
          <w:bCs/>
          <w:color w:val="000000"/>
          <w:sz w:val="28"/>
          <w:szCs w:val="28"/>
        </w:rPr>
      </w:pPr>
      <w:r>
        <w:rPr>
          <w:rFonts w:ascii="宋体" w:hAnsi="宋体"/>
          <w:sz w:val="28"/>
          <w:szCs w:val="28"/>
        </w:rPr>
        <w:t>2</w:t>
      </w:r>
      <w:r>
        <w:rPr>
          <w:rFonts w:hint="eastAsia" w:ascii="宋体" w:hAnsi="宋体"/>
          <w:sz w:val="28"/>
          <w:szCs w:val="28"/>
        </w:rPr>
        <w:t>、项目名称：</w:t>
      </w:r>
      <w:r>
        <w:rPr>
          <w:rFonts w:hint="eastAsia"/>
          <w:color w:val="000000"/>
          <w:sz w:val="28"/>
          <w:szCs w:val="28"/>
        </w:rPr>
        <w:t>宜昌市中心人民医院</w:t>
      </w:r>
      <w:bookmarkStart w:id="8" w:name="_GoBack"/>
      <w:r>
        <w:rPr>
          <w:rFonts w:hint="eastAsia"/>
          <w:bCs/>
          <w:color w:val="000000"/>
          <w:sz w:val="28"/>
          <w:szCs w:val="28"/>
        </w:rPr>
        <w:t>伍家院区5号楼配电室增加开关柜项目</w:t>
      </w:r>
      <w:bookmarkEnd w:id="8"/>
      <w:r>
        <w:rPr>
          <w:rFonts w:hint="eastAsia"/>
          <w:bCs/>
          <w:color w:val="000000"/>
          <w:sz w:val="28"/>
          <w:szCs w:val="28"/>
        </w:rPr>
        <w:t>。</w:t>
      </w:r>
    </w:p>
    <w:p>
      <w:pPr>
        <w:spacing w:line="500" w:lineRule="exact"/>
        <w:ind w:firstLine="630" w:firstLineChars="225"/>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、项目预算：9.6万元，超过此价格为无效投标。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、投标人应具备合法有效的工商营业执照，</w:t>
      </w:r>
      <w:r>
        <w:rPr>
          <w:rFonts w:ascii="宋体" w:hAnsi="宋体" w:cs="宋体"/>
          <w:kern w:val="0"/>
          <w:sz w:val="28"/>
          <w:szCs w:val="28"/>
        </w:rPr>
        <w:t>具备独立法人资格</w:t>
      </w:r>
      <w:r>
        <w:rPr>
          <w:rFonts w:hint="eastAsia" w:ascii="宋体" w:hAnsi="宋体" w:cs="宋体"/>
          <w:kern w:val="0"/>
          <w:sz w:val="28"/>
          <w:szCs w:val="28"/>
        </w:rPr>
        <w:t>。</w:t>
      </w:r>
    </w:p>
    <w:p>
      <w:pPr>
        <w:widowControl/>
        <w:spacing w:line="500" w:lineRule="exact"/>
        <w:ind w:firstLine="560" w:firstLineChars="200"/>
        <w:jc w:val="left"/>
        <w:textAlignment w:val="baseline"/>
        <w:rPr>
          <w:rFonts w:ascii="宋体" w:hAnsi="宋体" w:cs="宋体"/>
          <w:kern w:val="0"/>
          <w:sz w:val="28"/>
          <w:szCs w:val="28"/>
        </w:rPr>
      </w:pPr>
      <w:r>
        <w:rPr>
          <w:rFonts w:hint="eastAsia" w:ascii="宋体" w:hAnsi="宋体"/>
          <w:sz w:val="28"/>
          <w:szCs w:val="28"/>
          <w:lang w:val="zh-CN"/>
        </w:rPr>
        <w:t>2、通过“信用中国” 网站或者中国政府采购网等渠道查询的主体信用记录，未被列入信用记录失信被执行人、重大税收违法案件当事人名单、政府采购严重违法失信行为记录名单。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单位负责人为同一人或者存在直接控股、管理关系的不同服务商，不得参加本项目同一合同项下的采购活动。</w:t>
      </w:r>
    </w:p>
    <w:p>
      <w:pPr>
        <w:widowControl/>
        <w:spacing w:line="500" w:lineRule="exact"/>
        <w:ind w:firstLine="560" w:firstLineChars="200"/>
        <w:jc w:val="left"/>
        <w:textAlignment w:val="baseline"/>
        <w:rPr>
          <w:rFonts w:ascii="宋体" w:hAnsi="宋体" w:cs="宋体"/>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textAlignment w:val="baseline"/>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textAlignment w:val="baseline"/>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宜昌市中心人民医院伍家院区5号楼（内科楼）中央空调主机即将进行更换，空调主机将由现在的1台变两台（一主一备），原配电室开关无法满足两台空调主机的负荷需求，现需在5号楼配电室增加空调主机专用开关柜及配套电缆。开关柜、电缆及其配套设备在安装完成并验收合格后，由采购方安排组织中标服务商现场验收送电。</w:t>
      </w:r>
    </w:p>
    <w:p>
      <w:pPr>
        <w:widowControl/>
        <w:spacing w:line="500" w:lineRule="exact"/>
        <w:jc w:val="left"/>
        <w:textAlignment w:val="baseline"/>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jc w:val="left"/>
        <w:textAlignment w:val="baseline"/>
        <w:rPr>
          <w:rFonts w:ascii="宋体" w:hAnsi="宋体" w:cs="宋体"/>
          <w:b/>
          <w:bCs/>
          <w:kern w:val="0"/>
          <w:sz w:val="28"/>
          <w:szCs w:val="28"/>
        </w:rPr>
      </w:pPr>
    </w:p>
    <w:tbl>
      <w:tblPr>
        <w:tblStyle w:val="10"/>
        <w:tblpPr w:leftFromText="180" w:rightFromText="180" w:vertAnchor="text" w:horzAnchor="page" w:tblpX="1773" w:tblpY="821"/>
        <w:tblOverlap w:val="never"/>
        <w:tblW w:w="8889" w:type="dxa"/>
        <w:tblInd w:w="0" w:type="dxa"/>
        <w:tblLayout w:type="fixed"/>
        <w:tblCellMar>
          <w:top w:w="0" w:type="dxa"/>
          <w:left w:w="108" w:type="dxa"/>
          <w:bottom w:w="0" w:type="dxa"/>
          <w:right w:w="108" w:type="dxa"/>
        </w:tblCellMar>
      </w:tblPr>
      <w:tblGrid>
        <w:gridCol w:w="789"/>
        <w:gridCol w:w="2315"/>
        <w:gridCol w:w="810"/>
        <w:gridCol w:w="945"/>
        <w:gridCol w:w="4030"/>
      </w:tblGrid>
      <w:tr>
        <w:tblPrEx>
          <w:tblCellMar>
            <w:top w:w="0" w:type="dxa"/>
            <w:left w:w="108" w:type="dxa"/>
            <w:bottom w:w="0" w:type="dxa"/>
            <w:right w:w="108" w:type="dxa"/>
          </w:tblCellMar>
        </w:tblPrEx>
        <w:trPr>
          <w:trHeight w:val="439"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序号</w:t>
            </w:r>
          </w:p>
        </w:tc>
        <w:tc>
          <w:tcPr>
            <w:tcW w:w="2315"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货物/服务名称</w:t>
            </w:r>
          </w:p>
        </w:tc>
        <w:tc>
          <w:tcPr>
            <w:tcW w:w="8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单位</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数量</w:t>
            </w:r>
          </w:p>
        </w:tc>
        <w:tc>
          <w:tcPr>
            <w:tcW w:w="40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备注</w:t>
            </w:r>
          </w:p>
        </w:tc>
      </w:tr>
      <w:tr>
        <w:tblPrEx>
          <w:tblCellMar>
            <w:top w:w="0" w:type="dxa"/>
            <w:left w:w="108" w:type="dxa"/>
            <w:bottom w:w="0" w:type="dxa"/>
            <w:right w:w="108" w:type="dxa"/>
          </w:tblCellMar>
        </w:tblPrEx>
        <w:trPr>
          <w:trHeight w:val="528" w:hRule="atLeast"/>
        </w:trPr>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231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开关柜</w:t>
            </w:r>
          </w:p>
        </w:tc>
        <w:tc>
          <w:tcPr>
            <w:tcW w:w="81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台</w:t>
            </w:r>
          </w:p>
        </w:tc>
        <w:tc>
          <w:tcPr>
            <w:tcW w:w="94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403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Courier New"/>
                <w:spacing w:val="2"/>
                <w:sz w:val="24"/>
                <w:szCs w:val="24"/>
              </w:rPr>
              <w:t>1.GGD型开关柜1台；2.开关柜安装施工（含基础及接地）；3.对上级开关柜按新增开关柜拼装的要求进行必要的改造</w:t>
            </w:r>
          </w:p>
        </w:tc>
      </w:tr>
      <w:tr>
        <w:tblPrEx>
          <w:tblCellMar>
            <w:top w:w="0" w:type="dxa"/>
            <w:left w:w="108" w:type="dxa"/>
            <w:bottom w:w="0" w:type="dxa"/>
            <w:right w:w="108" w:type="dxa"/>
          </w:tblCellMar>
        </w:tblPrEx>
        <w:trPr>
          <w:trHeight w:val="439" w:hRule="atLeast"/>
        </w:trPr>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2</w:t>
            </w:r>
          </w:p>
        </w:tc>
        <w:tc>
          <w:tcPr>
            <w:tcW w:w="231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宋体"/>
                <w:bCs/>
                <w:kern w:val="0"/>
                <w:sz w:val="24"/>
                <w:szCs w:val="24"/>
              </w:rPr>
            </w:pPr>
            <w:r>
              <w:rPr>
                <w:rFonts w:hint="eastAsia" w:hAnsi="宋体" w:cs="宋体"/>
                <w:bCs/>
                <w:kern w:val="0"/>
                <w:sz w:val="24"/>
                <w:szCs w:val="24"/>
              </w:rPr>
              <w:t>电缆</w:t>
            </w:r>
          </w:p>
        </w:tc>
        <w:tc>
          <w:tcPr>
            <w:tcW w:w="81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米</w:t>
            </w:r>
          </w:p>
        </w:tc>
        <w:tc>
          <w:tcPr>
            <w:tcW w:w="94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90</w:t>
            </w:r>
          </w:p>
        </w:tc>
        <w:tc>
          <w:tcPr>
            <w:tcW w:w="403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Courier New"/>
                <w:spacing w:val="2"/>
                <w:sz w:val="24"/>
                <w:szCs w:val="24"/>
              </w:rPr>
              <w:t>1.含电缆采购、敷设，安装、检测；2.从新增开关柜敷设至中央空调控制柜的施工；3.新增开关柜进线电缆搭火施工</w:t>
            </w:r>
          </w:p>
        </w:tc>
      </w:tr>
      <w:tr>
        <w:tblPrEx>
          <w:tblCellMar>
            <w:top w:w="0" w:type="dxa"/>
            <w:left w:w="108" w:type="dxa"/>
            <w:bottom w:w="0" w:type="dxa"/>
            <w:right w:w="108" w:type="dxa"/>
          </w:tblCellMar>
        </w:tblPrEx>
        <w:trPr>
          <w:trHeight w:val="439" w:hRule="atLeast"/>
        </w:trPr>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3</w:t>
            </w:r>
          </w:p>
        </w:tc>
        <w:tc>
          <w:tcPr>
            <w:tcW w:w="231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宋体"/>
                <w:bCs/>
                <w:kern w:val="0"/>
                <w:sz w:val="24"/>
                <w:szCs w:val="24"/>
              </w:rPr>
            </w:pPr>
            <w:r>
              <w:rPr>
                <w:rFonts w:hint="eastAsia" w:hAnsi="宋体" w:cs="宋体"/>
                <w:bCs/>
                <w:kern w:val="0"/>
                <w:sz w:val="24"/>
                <w:szCs w:val="24"/>
              </w:rPr>
              <w:t>电缆附件</w:t>
            </w:r>
          </w:p>
        </w:tc>
        <w:tc>
          <w:tcPr>
            <w:tcW w:w="81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ind w:firstLine="244" w:firstLineChars="100"/>
              <w:jc w:val="left"/>
              <w:textAlignment w:val="baseline"/>
              <w:rPr>
                <w:rFonts w:hAnsi="宋体" w:cs="Courier New"/>
                <w:spacing w:val="2"/>
                <w:sz w:val="24"/>
                <w:szCs w:val="24"/>
              </w:rPr>
            </w:pPr>
            <w:r>
              <w:rPr>
                <w:rFonts w:hint="eastAsia" w:hAnsi="宋体" w:cs="Courier New"/>
                <w:spacing w:val="2"/>
                <w:sz w:val="24"/>
                <w:szCs w:val="24"/>
              </w:rPr>
              <w:t>套</w:t>
            </w:r>
          </w:p>
        </w:tc>
        <w:tc>
          <w:tcPr>
            <w:tcW w:w="94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8</w:t>
            </w:r>
          </w:p>
        </w:tc>
        <w:tc>
          <w:tcPr>
            <w:tcW w:w="403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终端型</w:t>
            </w:r>
          </w:p>
        </w:tc>
      </w:tr>
      <w:tr>
        <w:tblPrEx>
          <w:tblCellMar>
            <w:top w:w="0" w:type="dxa"/>
            <w:left w:w="108" w:type="dxa"/>
            <w:bottom w:w="0" w:type="dxa"/>
            <w:right w:w="108" w:type="dxa"/>
          </w:tblCellMar>
        </w:tblPrEx>
        <w:trPr>
          <w:trHeight w:val="439" w:hRule="atLeast"/>
        </w:trPr>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4</w:t>
            </w:r>
          </w:p>
        </w:tc>
        <w:tc>
          <w:tcPr>
            <w:tcW w:w="231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宋体"/>
                <w:bCs/>
                <w:kern w:val="0"/>
                <w:sz w:val="24"/>
                <w:szCs w:val="24"/>
              </w:rPr>
            </w:pPr>
            <w:r>
              <w:rPr>
                <w:rFonts w:hint="eastAsia" w:hAnsi="宋体" w:cs="宋体"/>
                <w:bCs/>
                <w:kern w:val="0"/>
                <w:sz w:val="24"/>
                <w:szCs w:val="24"/>
              </w:rPr>
              <w:t>安装工程</w:t>
            </w:r>
          </w:p>
        </w:tc>
        <w:tc>
          <w:tcPr>
            <w:tcW w:w="81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项</w:t>
            </w:r>
          </w:p>
        </w:tc>
        <w:tc>
          <w:tcPr>
            <w:tcW w:w="945"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403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含安装</w:t>
            </w:r>
            <w:r>
              <w:rPr>
                <w:rFonts w:hint="eastAsia" w:hAnsi="宋体" w:cs="宋体"/>
                <w:bCs/>
                <w:kern w:val="0"/>
                <w:sz w:val="24"/>
                <w:szCs w:val="24"/>
              </w:rPr>
              <w:t>附件及孔洞封堵</w:t>
            </w:r>
            <w:r>
              <w:rPr>
                <w:rFonts w:hint="eastAsia" w:hAnsi="宋体" w:cs="Courier New"/>
                <w:spacing w:val="2"/>
                <w:sz w:val="24"/>
                <w:szCs w:val="24"/>
              </w:rPr>
              <w:t>、检测等</w:t>
            </w:r>
          </w:p>
        </w:tc>
      </w:tr>
    </w:tbl>
    <w:p>
      <w:pPr>
        <w:numPr>
          <w:ilvl w:val="0"/>
          <w:numId w:val="1"/>
        </w:numPr>
        <w:spacing w:line="500" w:lineRule="exact"/>
        <w:textAlignment w:val="baseline"/>
        <w:rPr>
          <w:rFonts w:ascii="宋体" w:hAnsi="宋体"/>
          <w:b/>
          <w:sz w:val="24"/>
          <w:szCs w:val="24"/>
        </w:rPr>
      </w:pPr>
      <w:r>
        <w:rPr>
          <w:rFonts w:hint="eastAsia" w:ascii="宋体" w:hAnsi="宋体"/>
          <w:b/>
          <w:sz w:val="24"/>
          <w:szCs w:val="24"/>
        </w:rPr>
        <w:t>货物、服务需求一览表</w:t>
      </w:r>
    </w:p>
    <w:p>
      <w:pPr>
        <w:numPr>
          <w:ilvl w:val="0"/>
          <w:numId w:val="1"/>
        </w:numPr>
        <w:spacing w:line="500" w:lineRule="exact"/>
        <w:textAlignment w:val="baseline"/>
        <w:rPr>
          <w:rFonts w:ascii="宋体" w:hAnsi="宋体"/>
          <w:b/>
          <w:sz w:val="24"/>
          <w:szCs w:val="24"/>
        </w:rPr>
      </w:pPr>
      <w:r>
        <w:rPr>
          <w:rFonts w:hint="eastAsia" w:ascii="宋体" w:hAnsi="宋体"/>
          <w:b/>
          <w:sz w:val="24"/>
          <w:szCs w:val="24"/>
        </w:rPr>
        <w:t>详细技术要求</w:t>
      </w:r>
    </w:p>
    <w:p>
      <w:pPr>
        <w:spacing w:line="500" w:lineRule="exact"/>
        <w:textAlignment w:val="baseline"/>
        <w:rPr>
          <w:rFonts w:ascii="宋体" w:hAnsi="宋体"/>
          <w:b/>
          <w:sz w:val="24"/>
          <w:szCs w:val="24"/>
        </w:rPr>
      </w:pPr>
      <w:r>
        <w:rPr>
          <w:rFonts w:hint="eastAsia" w:ascii="宋体" w:hAnsi="宋体"/>
          <w:b/>
          <w:sz w:val="24"/>
          <w:szCs w:val="24"/>
        </w:rPr>
        <w:t>2.通用技术要求</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950"/>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spacing w:line="500" w:lineRule="exact"/>
              <w:textAlignment w:val="baseline"/>
              <w:rPr>
                <w:rFonts w:ascii="宋体" w:hAnsi="宋体"/>
                <w:sz w:val="24"/>
                <w:szCs w:val="24"/>
              </w:rPr>
            </w:pPr>
            <w:r>
              <w:rPr>
                <w:rFonts w:hint="eastAsia" w:ascii="宋体" w:hAnsi="宋体"/>
                <w:sz w:val="24"/>
                <w:szCs w:val="24"/>
              </w:rPr>
              <w:t>序号</w:t>
            </w:r>
          </w:p>
        </w:tc>
        <w:tc>
          <w:tcPr>
            <w:tcW w:w="1950" w:type="dxa"/>
          </w:tcPr>
          <w:p>
            <w:pPr>
              <w:spacing w:line="500" w:lineRule="exact"/>
              <w:textAlignment w:val="baseline"/>
              <w:rPr>
                <w:rFonts w:ascii="宋体" w:hAnsi="宋体"/>
                <w:sz w:val="24"/>
                <w:szCs w:val="24"/>
              </w:rPr>
            </w:pPr>
            <w:r>
              <w:rPr>
                <w:rFonts w:hint="eastAsia" w:ascii="宋体" w:hAnsi="宋体"/>
                <w:sz w:val="24"/>
                <w:szCs w:val="24"/>
              </w:rPr>
              <w:t>项目</w:t>
            </w:r>
          </w:p>
        </w:tc>
        <w:tc>
          <w:tcPr>
            <w:tcW w:w="5828" w:type="dxa"/>
          </w:tcPr>
          <w:p>
            <w:pPr>
              <w:spacing w:line="500" w:lineRule="exact"/>
              <w:textAlignment w:val="baseline"/>
              <w:rPr>
                <w:rFonts w:ascii="宋体" w:hAnsi="宋体"/>
                <w:sz w:val="24"/>
                <w:szCs w:val="24"/>
              </w:rPr>
            </w:pPr>
            <w:r>
              <w:rPr>
                <w:rFonts w:hint="eastAsia" w:ascii="宋体" w:hAnsi="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spacing w:line="500" w:lineRule="exact"/>
              <w:textAlignment w:val="baseline"/>
              <w:rPr>
                <w:rFonts w:ascii="宋体" w:hAnsi="宋体"/>
                <w:sz w:val="24"/>
                <w:szCs w:val="24"/>
              </w:rPr>
            </w:pPr>
            <w:r>
              <w:rPr>
                <w:rFonts w:hint="eastAsia" w:ascii="宋体" w:hAnsi="宋体"/>
                <w:sz w:val="24"/>
                <w:szCs w:val="24"/>
              </w:rPr>
              <w:t>1</w:t>
            </w:r>
          </w:p>
        </w:tc>
        <w:tc>
          <w:tcPr>
            <w:tcW w:w="1950" w:type="dxa"/>
          </w:tcPr>
          <w:p>
            <w:pPr>
              <w:spacing w:line="500" w:lineRule="exact"/>
              <w:textAlignment w:val="baseline"/>
              <w:rPr>
                <w:rFonts w:ascii="宋体" w:hAnsi="宋体"/>
                <w:sz w:val="24"/>
                <w:szCs w:val="24"/>
              </w:rPr>
            </w:pPr>
            <w:r>
              <w:rPr>
                <w:rFonts w:hint="eastAsia" w:ascii="宋体" w:hAnsi="宋体"/>
                <w:sz w:val="24"/>
                <w:szCs w:val="24"/>
              </w:rPr>
              <w:t>额定电压</w:t>
            </w:r>
          </w:p>
        </w:tc>
        <w:tc>
          <w:tcPr>
            <w:tcW w:w="5828" w:type="dxa"/>
          </w:tcPr>
          <w:p>
            <w:pPr>
              <w:spacing w:line="500" w:lineRule="exact"/>
              <w:textAlignment w:val="baseline"/>
              <w:rPr>
                <w:rFonts w:ascii="宋体" w:hAnsi="宋体"/>
                <w:sz w:val="24"/>
                <w:szCs w:val="24"/>
              </w:rPr>
            </w:pPr>
            <w:r>
              <w:rPr>
                <w:rFonts w:hint="eastAsia" w:ascii="宋体" w:hAnsi="宋体"/>
                <w:bCs/>
                <w:sz w:val="24"/>
                <w:szCs w:val="24"/>
              </w:rPr>
              <w:t>400V</w:t>
            </w:r>
            <w:r>
              <w:rPr>
                <w:rFonts w:hint="eastAsia" w:ascii="宋体" w:hAnsi="宋体"/>
                <w:sz w:val="24"/>
                <w:szCs w:val="24"/>
              </w:rPr>
              <w:t>（</w:t>
            </w:r>
            <w:r>
              <w:rPr>
                <w:rFonts w:ascii="宋体" w:hAnsi="宋体"/>
                <w:sz w:val="24"/>
                <w:szCs w:val="24"/>
              </w:rPr>
              <w:t>AC</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spacing w:line="500" w:lineRule="exact"/>
              <w:textAlignment w:val="baseline"/>
              <w:rPr>
                <w:rFonts w:ascii="宋体" w:hAnsi="宋体"/>
                <w:sz w:val="24"/>
                <w:szCs w:val="24"/>
              </w:rPr>
            </w:pPr>
            <w:r>
              <w:rPr>
                <w:rFonts w:hint="eastAsia" w:ascii="宋体" w:hAnsi="宋体"/>
                <w:sz w:val="24"/>
                <w:szCs w:val="24"/>
              </w:rPr>
              <w:t>2</w:t>
            </w:r>
          </w:p>
        </w:tc>
        <w:tc>
          <w:tcPr>
            <w:tcW w:w="1950" w:type="dxa"/>
          </w:tcPr>
          <w:p>
            <w:pPr>
              <w:spacing w:line="500" w:lineRule="exact"/>
              <w:textAlignment w:val="baseline"/>
              <w:rPr>
                <w:rFonts w:ascii="宋体" w:hAnsi="宋体"/>
                <w:sz w:val="24"/>
                <w:szCs w:val="24"/>
              </w:rPr>
            </w:pPr>
            <w:r>
              <w:rPr>
                <w:rFonts w:hint="eastAsia" w:ascii="宋体" w:hAnsi="宋体"/>
                <w:sz w:val="24"/>
                <w:szCs w:val="24"/>
              </w:rPr>
              <w:t>额定绝缘电压</w:t>
            </w:r>
          </w:p>
        </w:tc>
        <w:tc>
          <w:tcPr>
            <w:tcW w:w="5828" w:type="dxa"/>
          </w:tcPr>
          <w:p>
            <w:pPr>
              <w:spacing w:line="500" w:lineRule="exact"/>
              <w:textAlignment w:val="baseline"/>
              <w:rPr>
                <w:rFonts w:ascii="宋体" w:hAnsi="宋体"/>
                <w:sz w:val="24"/>
                <w:szCs w:val="24"/>
              </w:rPr>
            </w:pPr>
            <w:r>
              <w:rPr>
                <w:rFonts w:ascii="宋体" w:hAnsi="宋体"/>
                <w:sz w:val="24"/>
                <w:szCs w:val="24"/>
              </w:rPr>
              <w:t>1000V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spacing w:line="500" w:lineRule="exact"/>
              <w:textAlignment w:val="baseline"/>
              <w:rPr>
                <w:rFonts w:ascii="宋体" w:hAnsi="宋体"/>
                <w:sz w:val="24"/>
                <w:szCs w:val="24"/>
              </w:rPr>
            </w:pPr>
            <w:r>
              <w:rPr>
                <w:rFonts w:hint="eastAsia" w:ascii="宋体" w:hAnsi="宋体"/>
                <w:sz w:val="24"/>
                <w:szCs w:val="24"/>
              </w:rPr>
              <w:t>3</w:t>
            </w:r>
          </w:p>
        </w:tc>
        <w:tc>
          <w:tcPr>
            <w:tcW w:w="1950" w:type="dxa"/>
          </w:tcPr>
          <w:p>
            <w:pPr>
              <w:spacing w:line="500" w:lineRule="exact"/>
              <w:textAlignment w:val="baseline"/>
              <w:rPr>
                <w:rFonts w:ascii="宋体" w:hAnsi="宋体"/>
                <w:sz w:val="24"/>
                <w:szCs w:val="24"/>
              </w:rPr>
            </w:pPr>
            <w:r>
              <w:rPr>
                <w:rFonts w:hint="eastAsia" w:ascii="宋体" w:hAnsi="宋体"/>
                <w:sz w:val="24"/>
                <w:szCs w:val="24"/>
              </w:rPr>
              <w:t>额定频率</w:t>
            </w:r>
          </w:p>
        </w:tc>
        <w:tc>
          <w:tcPr>
            <w:tcW w:w="5828" w:type="dxa"/>
          </w:tcPr>
          <w:p>
            <w:pPr>
              <w:spacing w:line="500" w:lineRule="exact"/>
              <w:textAlignment w:val="baseline"/>
              <w:rPr>
                <w:rFonts w:ascii="宋体" w:hAnsi="宋体"/>
                <w:sz w:val="24"/>
                <w:szCs w:val="24"/>
              </w:rPr>
            </w:pPr>
            <w:r>
              <w:rPr>
                <w:rFonts w:ascii="宋体" w:hAnsi="宋体"/>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Pr>
          <w:p>
            <w:pPr>
              <w:spacing w:line="500" w:lineRule="exact"/>
              <w:textAlignment w:val="baseline"/>
              <w:rPr>
                <w:rFonts w:ascii="宋体" w:hAnsi="宋体"/>
                <w:sz w:val="24"/>
                <w:szCs w:val="24"/>
              </w:rPr>
            </w:pPr>
            <w:r>
              <w:rPr>
                <w:rFonts w:hint="eastAsia" w:ascii="宋体" w:hAnsi="宋体"/>
                <w:sz w:val="24"/>
                <w:szCs w:val="24"/>
              </w:rPr>
              <w:t>4</w:t>
            </w:r>
          </w:p>
        </w:tc>
        <w:tc>
          <w:tcPr>
            <w:tcW w:w="1950" w:type="dxa"/>
          </w:tcPr>
          <w:p>
            <w:pPr>
              <w:spacing w:line="500" w:lineRule="exact"/>
              <w:textAlignment w:val="baseline"/>
              <w:rPr>
                <w:rFonts w:ascii="宋体" w:hAnsi="宋体"/>
                <w:sz w:val="24"/>
                <w:szCs w:val="24"/>
              </w:rPr>
            </w:pPr>
            <w:r>
              <w:rPr>
                <w:rFonts w:hint="eastAsia" w:ascii="宋体" w:hAnsi="宋体"/>
                <w:sz w:val="24"/>
                <w:szCs w:val="24"/>
              </w:rPr>
              <w:t>绝缘电阻</w:t>
            </w:r>
          </w:p>
        </w:tc>
        <w:tc>
          <w:tcPr>
            <w:tcW w:w="5828" w:type="dxa"/>
          </w:tcPr>
          <w:p>
            <w:pPr>
              <w:spacing w:line="500" w:lineRule="exact"/>
              <w:textAlignment w:val="baseline"/>
              <w:rPr>
                <w:rFonts w:ascii="宋体" w:hAnsi="宋体"/>
                <w:sz w:val="24"/>
                <w:szCs w:val="24"/>
              </w:rPr>
            </w:pPr>
            <w:r>
              <w:rPr>
                <w:rFonts w:hint="eastAsia" w:ascii="宋体" w:hAnsi="宋体"/>
                <w:bCs/>
                <w:sz w:val="24"/>
                <w:szCs w:val="24"/>
              </w:rPr>
              <w:t>开关柜每相母线及电缆的相间、相地绝缘电阻均应≥20M</w:t>
            </w:r>
            <w:r>
              <w:rPr>
                <w:rFonts w:ascii="宋体" w:hAnsi="宋体"/>
                <w:bCs/>
                <w:sz w:val="24"/>
                <w:szCs w:val="24"/>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5" w:type="dxa"/>
          </w:tcPr>
          <w:p>
            <w:pPr>
              <w:spacing w:line="500" w:lineRule="exact"/>
              <w:textAlignment w:val="baseline"/>
              <w:rPr>
                <w:rFonts w:ascii="宋体" w:hAnsi="宋体"/>
                <w:sz w:val="24"/>
                <w:szCs w:val="24"/>
              </w:rPr>
            </w:pPr>
            <w:r>
              <w:rPr>
                <w:rFonts w:hint="eastAsia" w:ascii="宋体" w:hAnsi="宋体"/>
                <w:sz w:val="24"/>
                <w:szCs w:val="24"/>
              </w:rPr>
              <w:t>5</w:t>
            </w:r>
          </w:p>
        </w:tc>
        <w:tc>
          <w:tcPr>
            <w:tcW w:w="1950" w:type="dxa"/>
          </w:tcPr>
          <w:p>
            <w:pPr>
              <w:spacing w:line="500" w:lineRule="exact"/>
              <w:textAlignment w:val="baseline"/>
              <w:rPr>
                <w:rFonts w:ascii="宋体" w:hAnsi="宋体"/>
                <w:sz w:val="24"/>
                <w:szCs w:val="24"/>
              </w:rPr>
            </w:pPr>
            <w:r>
              <w:rPr>
                <w:rFonts w:hint="eastAsia" w:ascii="宋体" w:hAnsi="宋体"/>
                <w:sz w:val="24"/>
                <w:szCs w:val="24"/>
              </w:rPr>
              <w:t>工频耐压</w:t>
            </w:r>
          </w:p>
        </w:tc>
        <w:tc>
          <w:tcPr>
            <w:tcW w:w="5828" w:type="dxa"/>
          </w:tcPr>
          <w:p>
            <w:pPr>
              <w:spacing w:line="500" w:lineRule="exact"/>
              <w:textAlignment w:val="baseline"/>
              <w:rPr>
                <w:rFonts w:ascii="宋体" w:hAnsi="宋体"/>
                <w:sz w:val="24"/>
                <w:szCs w:val="24"/>
              </w:rPr>
            </w:pPr>
            <w:r>
              <w:rPr>
                <w:rFonts w:hint="eastAsia" w:ascii="宋体" w:hAnsi="宋体"/>
                <w:sz w:val="24"/>
                <w:szCs w:val="24"/>
              </w:rPr>
              <w:t>≥10</w:t>
            </w:r>
            <w:r>
              <w:rPr>
                <w:rFonts w:ascii="宋体" w:hAnsi="宋体"/>
                <w:sz w:val="24"/>
                <w:szCs w:val="24"/>
              </w:rPr>
              <w:t>00V</w:t>
            </w:r>
            <w:r>
              <w:rPr>
                <w:rFonts w:hint="eastAsia" w:ascii="宋体" w:hAnsi="宋体"/>
                <w:sz w:val="24"/>
                <w:szCs w:val="24"/>
              </w:rPr>
              <w:t>a</w:t>
            </w:r>
            <w:r>
              <w:rPr>
                <w:rFonts w:ascii="宋体" w:hAnsi="宋体"/>
                <w:sz w:val="24"/>
                <w:szCs w:val="24"/>
              </w:rPr>
              <w:t>c/1min</w:t>
            </w:r>
            <w:r>
              <w:rPr>
                <w:rFonts w:hint="eastAsia" w:ascii="宋体" w:hAnsi="宋体"/>
                <w:sz w:val="24"/>
                <w:szCs w:val="24"/>
              </w:rPr>
              <w:t>，无击穿闪络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5" w:type="dxa"/>
          </w:tcPr>
          <w:p>
            <w:pPr>
              <w:spacing w:line="500" w:lineRule="exact"/>
              <w:textAlignment w:val="baseline"/>
              <w:rPr>
                <w:rFonts w:ascii="宋体" w:hAnsi="宋体"/>
                <w:sz w:val="18"/>
                <w:szCs w:val="18"/>
              </w:rPr>
            </w:pPr>
            <w:r>
              <w:rPr>
                <w:rFonts w:hint="eastAsia" w:ascii="宋体" w:hAnsi="宋体"/>
                <w:sz w:val="24"/>
                <w:szCs w:val="24"/>
              </w:rPr>
              <w:t>6</w:t>
            </w:r>
          </w:p>
        </w:tc>
        <w:tc>
          <w:tcPr>
            <w:tcW w:w="1950" w:type="dxa"/>
          </w:tcPr>
          <w:p>
            <w:pPr>
              <w:spacing w:line="500" w:lineRule="exact"/>
              <w:textAlignment w:val="baseline"/>
              <w:rPr>
                <w:rFonts w:ascii="宋体" w:hAnsi="宋体" w:cs="宋体"/>
                <w:kern w:val="0"/>
                <w:sz w:val="24"/>
                <w:szCs w:val="24"/>
              </w:rPr>
            </w:pPr>
            <w:r>
              <w:rPr>
                <w:rFonts w:hint="eastAsia"/>
                <w:sz w:val="24"/>
                <w:szCs w:val="24"/>
              </w:rPr>
              <w:t>短路强度</w:t>
            </w:r>
          </w:p>
          <w:p>
            <w:pPr>
              <w:spacing w:line="500" w:lineRule="exact"/>
              <w:textAlignment w:val="baseline"/>
              <w:rPr>
                <w:rFonts w:ascii="宋体" w:hAnsi="宋体"/>
                <w:sz w:val="24"/>
                <w:szCs w:val="24"/>
              </w:rPr>
            </w:pPr>
          </w:p>
        </w:tc>
        <w:tc>
          <w:tcPr>
            <w:tcW w:w="5828" w:type="dxa"/>
          </w:tcPr>
          <w:p>
            <w:pPr>
              <w:spacing w:line="500" w:lineRule="exact"/>
              <w:textAlignment w:val="baseline"/>
              <w:rPr>
                <w:rFonts w:ascii="宋体" w:hAnsi="宋体"/>
                <w:sz w:val="24"/>
                <w:szCs w:val="24"/>
              </w:rPr>
            </w:pPr>
            <w:r>
              <w:rPr>
                <w:rFonts w:hint="eastAsia"/>
                <w:sz w:val="24"/>
                <w:szCs w:val="24"/>
              </w:rPr>
              <w:t>能承受国家规定的额定短时耐受电流和额定峰值电流，断路器电气分断能力Ics=Icu</w:t>
            </w:r>
            <w:r>
              <w:rPr>
                <w:rFonts w:hint="eastAsia" w:ascii="宋体" w:hAnsi="宋体"/>
                <w:sz w:val="24"/>
                <w:szCs w:val="24"/>
              </w:rPr>
              <w:t>≥65</w:t>
            </w:r>
            <w:r>
              <w:rPr>
                <w:rFonts w:ascii="宋体" w:hAnsi="宋体"/>
                <w:sz w:val="24"/>
                <w:szCs w:val="24"/>
              </w:rPr>
              <w:t>KA</w:t>
            </w:r>
          </w:p>
        </w:tc>
      </w:tr>
    </w:tbl>
    <w:p>
      <w:pPr>
        <w:spacing w:line="500" w:lineRule="exact"/>
        <w:textAlignment w:val="baseline"/>
        <w:rPr>
          <w:rFonts w:ascii="宋体" w:hAnsi="宋体"/>
          <w:b/>
          <w:sz w:val="24"/>
          <w:szCs w:val="24"/>
        </w:rPr>
      </w:pPr>
      <w:r>
        <w:rPr>
          <w:rFonts w:hint="eastAsia" w:ascii="宋体" w:hAnsi="宋体"/>
          <w:b/>
          <w:sz w:val="24"/>
          <w:szCs w:val="24"/>
        </w:rPr>
        <w:t>2.2、专项技术要求</w:t>
      </w:r>
    </w:p>
    <w:tbl>
      <w:tblPr>
        <w:tblStyle w:val="10"/>
        <w:tblW w:w="8818" w:type="dxa"/>
        <w:tblInd w:w="-34" w:type="dxa"/>
        <w:tblLayout w:type="fixed"/>
        <w:tblCellMar>
          <w:top w:w="0" w:type="dxa"/>
          <w:left w:w="108" w:type="dxa"/>
          <w:bottom w:w="0" w:type="dxa"/>
          <w:right w:w="108" w:type="dxa"/>
        </w:tblCellMar>
      </w:tblPr>
      <w:tblGrid>
        <w:gridCol w:w="589"/>
        <w:gridCol w:w="1538"/>
        <w:gridCol w:w="2268"/>
        <w:gridCol w:w="709"/>
        <w:gridCol w:w="850"/>
        <w:gridCol w:w="2864"/>
      </w:tblGrid>
      <w:tr>
        <w:tblPrEx>
          <w:tblCellMar>
            <w:top w:w="0" w:type="dxa"/>
            <w:left w:w="108" w:type="dxa"/>
            <w:bottom w:w="0" w:type="dxa"/>
            <w:right w:w="108" w:type="dxa"/>
          </w:tblCellMar>
        </w:tblPrEx>
        <w:trPr>
          <w:trHeight w:val="439" w:hRule="atLeast"/>
        </w:trPr>
        <w:tc>
          <w:tcPr>
            <w:tcW w:w="58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序号</w:t>
            </w:r>
          </w:p>
        </w:tc>
        <w:tc>
          <w:tcPr>
            <w:tcW w:w="1538"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宋体"/>
                <w:spacing w:val="2"/>
                <w:sz w:val="24"/>
                <w:szCs w:val="24"/>
              </w:rPr>
              <w:t>货物/服务  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宋体"/>
                <w:spacing w:val="2"/>
                <w:sz w:val="24"/>
                <w:szCs w:val="24"/>
              </w:rPr>
              <w:t>技术规格参数、 服务要求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数量</w:t>
            </w:r>
          </w:p>
        </w:tc>
        <w:tc>
          <w:tcPr>
            <w:tcW w:w="2864"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投标品牌或说明</w:t>
            </w:r>
          </w:p>
        </w:tc>
      </w:tr>
      <w:tr>
        <w:tblPrEx>
          <w:tblCellMar>
            <w:top w:w="0" w:type="dxa"/>
            <w:left w:w="108" w:type="dxa"/>
            <w:bottom w:w="0" w:type="dxa"/>
            <w:right w:w="108" w:type="dxa"/>
          </w:tblCellMar>
        </w:tblPrEx>
        <w:trPr>
          <w:trHeight w:val="439" w:hRule="atLeast"/>
        </w:trPr>
        <w:tc>
          <w:tcPr>
            <w:tcW w:w="5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153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Courier New"/>
                <w:spacing w:val="2"/>
                <w:sz w:val="24"/>
                <w:szCs w:val="24"/>
              </w:rPr>
              <w:t>开关柜</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500" w:lineRule="exact"/>
              <w:jc w:val="left"/>
              <w:textAlignment w:val="baseline"/>
              <w:rPr>
                <w:rFonts w:ascii="宋体" w:hAnsi="宋体" w:cs="Courier New"/>
                <w:spacing w:val="2"/>
                <w:sz w:val="24"/>
                <w:szCs w:val="24"/>
              </w:rPr>
            </w:pPr>
            <w:r>
              <w:rPr>
                <w:rFonts w:hint="eastAsia" w:ascii="宋体" w:hAnsi="宋体" w:cs="Courier New"/>
                <w:spacing w:val="2"/>
                <w:sz w:val="24"/>
                <w:szCs w:val="24"/>
              </w:rPr>
              <w:t>详见2.2.1款项</w:t>
            </w:r>
          </w:p>
        </w:tc>
        <w:tc>
          <w:tcPr>
            <w:tcW w:w="709"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台</w:t>
            </w:r>
          </w:p>
        </w:tc>
        <w:tc>
          <w:tcPr>
            <w:tcW w:w="85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2864" w:type="dxa"/>
            <w:tcBorders>
              <w:top w:val="single" w:color="auto" w:sz="4" w:space="0"/>
              <w:left w:val="nil"/>
              <w:bottom w:val="single" w:color="auto" w:sz="4" w:space="0"/>
              <w:right w:val="single" w:color="auto" w:sz="4" w:space="0"/>
            </w:tcBorders>
            <w:shd w:val="clear" w:color="auto" w:fill="auto"/>
            <w:vAlign w:val="center"/>
          </w:tcPr>
          <w:p>
            <w:pPr>
              <w:jc w:val="left"/>
              <w:textAlignment w:val="baseline"/>
              <w:rPr>
                <w:sz w:val="24"/>
                <w:szCs w:val="24"/>
              </w:rPr>
            </w:pPr>
            <w:r>
              <w:rPr>
                <w:rFonts w:hint="eastAsia"/>
                <w:sz w:val="24"/>
                <w:szCs w:val="24"/>
              </w:rPr>
              <w:t>该设备为重要供电负荷，为保证与原设备的一致性、检修互换时效性和操作维护方便，断路器必须满足招标文件技术条款。</w:t>
            </w:r>
          </w:p>
        </w:tc>
      </w:tr>
      <w:tr>
        <w:tblPrEx>
          <w:tblCellMar>
            <w:top w:w="0" w:type="dxa"/>
            <w:left w:w="108" w:type="dxa"/>
            <w:bottom w:w="0" w:type="dxa"/>
            <w:right w:w="108" w:type="dxa"/>
          </w:tblCellMar>
        </w:tblPrEx>
        <w:trPr>
          <w:trHeight w:val="439" w:hRule="atLeast"/>
        </w:trPr>
        <w:tc>
          <w:tcPr>
            <w:tcW w:w="5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2</w:t>
            </w:r>
          </w:p>
        </w:tc>
        <w:tc>
          <w:tcPr>
            <w:tcW w:w="153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textAlignment w:val="baseline"/>
              <w:rPr>
                <w:rFonts w:hAnsi="宋体" w:cs="宋体"/>
                <w:bCs/>
                <w:kern w:val="0"/>
                <w:sz w:val="24"/>
                <w:szCs w:val="24"/>
              </w:rPr>
            </w:pPr>
            <w:r>
              <w:rPr>
                <w:rFonts w:hint="eastAsia" w:hAnsi="宋体" w:cs="宋体"/>
                <w:bCs/>
                <w:kern w:val="0"/>
                <w:sz w:val="24"/>
                <w:szCs w:val="24"/>
              </w:rPr>
              <w:t>电缆</w:t>
            </w:r>
          </w:p>
        </w:tc>
        <w:tc>
          <w:tcPr>
            <w:tcW w:w="226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宋体"/>
                <w:bCs/>
                <w:sz w:val="24"/>
                <w:szCs w:val="24"/>
              </w:rPr>
              <w:t>ZRYJV22-1KV       2*（4*185+1*95）</w:t>
            </w:r>
          </w:p>
        </w:tc>
        <w:tc>
          <w:tcPr>
            <w:tcW w:w="709"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米</w:t>
            </w:r>
          </w:p>
        </w:tc>
        <w:tc>
          <w:tcPr>
            <w:tcW w:w="85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90</w:t>
            </w:r>
          </w:p>
        </w:tc>
        <w:tc>
          <w:tcPr>
            <w:tcW w:w="2864"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国标</w:t>
            </w:r>
          </w:p>
        </w:tc>
      </w:tr>
      <w:tr>
        <w:tblPrEx>
          <w:tblCellMar>
            <w:top w:w="0" w:type="dxa"/>
            <w:left w:w="108" w:type="dxa"/>
            <w:bottom w:w="0" w:type="dxa"/>
            <w:right w:w="108" w:type="dxa"/>
          </w:tblCellMar>
        </w:tblPrEx>
        <w:trPr>
          <w:trHeight w:val="439" w:hRule="atLeast"/>
        </w:trPr>
        <w:tc>
          <w:tcPr>
            <w:tcW w:w="5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3</w:t>
            </w:r>
          </w:p>
        </w:tc>
        <w:tc>
          <w:tcPr>
            <w:tcW w:w="153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textAlignment w:val="baseline"/>
              <w:rPr>
                <w:rFonts w:hAnsi="宋体" w:cs="宋体"/>
                <w:bCs/>
                <w:kern w:val="0"/>
                <w:sz w:val="24"/>
                <w:szCs w:val="24"/>
              </w:rPr>
            </w:pPr>
            <w:r>
              <w:rPr>
                <w:rFonts w:hint="eastAsia" w:hAnsi="宋体" w:cs="宋体"/>
                <w:bCs/>
                <w:kern w:val="0"/>
                <w:sz w:val="24"/>
                <w:szCs w:val="24"/>
              </w:rPr>
              <w:t>电缆附件</w:t>
            </w:r>
          </w:p>
        </w:tc>
        <w:tc>
          <w:tcPr>
            <w:tcW w:w="226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Courier New"/>
                <w:spacing w:val="2"/>
                <w:sz w:val="24"/>
                <w:szCs w:val="24"/>
              </w:rPr>
              <w:t>终端型</w:t>
            </w:r>
            <w:r>
              <w:rPr>
                <w:rFonts w:hint="eastAsia" w:hAnsi="宋体" w:cs="宋体"/>
                <w:bCs/>
                <w:sz w:val="24"/>
                <w:szCs w:val="24"/>
              </w:rPr>
              <w:t>4*185+1*95</w:t>
            </w:r>
          </w:p>
        </w:tc>
        <w:tc>
          <w:tcPr>
            <w:tcW w:w="709"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套</w:t>
            </w:r>
          </w:p>
        </w:tc>
        <w:tc>
          <w:tcPr>
            <w:tcW w:w="85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8</w:t>
            </w:r>
          </w:p>
        </w:tc>
        <w:tc>
          <w:tcPr>
            <w:tcW w:w="2864"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国标</w:t>
            </w:r>
          </w:p>
        </w:tc>
      </w:tr>
      <w:tr>
        <w:tblPrEx>
          <w:tblCellMar>
            <w:top w:w="0" w:type="dxa"/>
            <w:left w:w="108" w:type="dxa"/>
            <w:bottom w:w="0" w:type="dxa"/>
            <w:right w:w="108" w:type="dxa"/>
          </w:tblCellMar>
        </w:tblPrEx>
        <w:trPr>
          <w:trHeight w:val="439" w:hRule="atLeast"/>
        </w:trPr>
        <w:tc>
          <w:tcPr>
            <w:tcW w:w="5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4</w:t>
            </w:r>
          </w:p>
        </w:tc>
        <w:tc>
          <w:tcPr>
            <w:tcW w:w="153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textAlignment w:val="baseline"/>
              <w:rPr>
                <w:rFonts w:hAnsi="宋体" w:cs="宋体"/>
                <w:bCs/>
                <w:kern w:val="0"/>
                <w:sz w:val="24"/>
                <w:szCs w:val="24"/>
              </w:rPr>
            </w:pPr>
            <w:r>
              <w:rPr>
                <w:rFonts w:hint="eastAsia" w:hAnsi="宋体" w:cs="宋体"/>
                <w:color w:val="000000"/>
                <w:kern w:val="0"/>
                <w:sz w:val="24"/>
                <w:szCs w:val="24"/>
              </w:rPr>
              <w:t>安装工程</w:t>
            </w:r>
          </w:p>
        </w:tc>
        <w:tc>
          <w:tcPr>
            <w:tcW w:w="226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left"/>
              <w:textAlignment w:val="baseline"/>
              <w:rPr>
                <w:rFonts w:hAnsi="宋体" w:cs="Courier New"/>
                <w:spacing w:val="2"/>
                <w:sz w:val="24"/>
                <w:szCs w:val="24"/>
              </w:rPr>
            </w:pPr>
            <w:r>
              <w:rPr>
                <w:rFonts w:hint="eastAsia" w:hAnsi="宋体" w:cs="Courier New"/>
                <w:spacing w:val="2"/>
                <w:sz w:val="24"/>
                <w:szCs w:val="24"/>
              </w:rPr>
              <w:t>新开关柜安装（原配电室开关柜必要的改造）、电缆敷设、接头制作、孔洞封堵及开关柜送电调试</w:t>
            </w:r>
          </w:p>
        </w:tc>
        <w:tc>
          <w:tcPr>
            <w:tcW w:w="709"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项</w:t>
            </w:r>
          </w:p>
        </w:tc>
        <w:tc>
          <w:tcPr>
            <w:tcW w:w="85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1</w:t>
            </w:r>
          </w:p>
        </w:tc>
        <w:tc>
          <w:tcPr>
            <w:tcW w:w="2864"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spacing w:line="500" w:lineRule="exact"/>
              <w:jc w:val="center"/>
              <w:textAlignment w:val="baseline"/>
              <w:rPr>
                <w:rFonts w:hAnsi="宋体" w:cs="Courier New"/>
                <w:spacing w:val="2"/>
                <w:sz w:val="24"/>
                <w:szCs w:val="24"/>
              </w:rPr>
            </w:pPr>
            <w:r>
              <w:rPr>
                <w:rFonts w:hint="eastAsia" w:hAnsi="宋体" w:cs="Courier New"/>
                <w:spacing w:val="2"/>
                <w:sz w:val="24"/>
                <w:szCs w:val="24"/>
              </w:rPr>
              <w:t>电力规范</w:t>
            </w:r>
          </w:p>
        </w:tc>
      </w:tr>
    </w:tbl>
    <w:p>
      <w:pPr>
        <w:spacing w:line="500" w:lineRule="exact"/>
        <w:jc w:val="left"/>
        <w:textAlignment w:val="baseline"/>
        <w:rPr>
          <w:rFonts w:ascii="宋体" w:hAnsi="宋体" w:cs="宋体"/>
          <w:b/>
          <w:kern w:val="0"/>
          <w:sz w:val="24"/>
          <w:szCs w:val="24"/>
        </w:rPr>
      </w:pPr>
      <w:r>
        <w:rPr>
          <w:rFonts w:hint="eastAsia" w:ascii="宋体" w:hAnsi="宋体" w:cs="宋体"/>
          <w:b/>
          <w:kern w:val="0"/>
          <w:sz w:val="24"/>
          <w:szCs w:val="24"/>
        </w:rPr>
        <w:t>注：要求投标人对每项填报投标品牌、投标单价及总价。</w:t>
      </w:r>
    </w:p>
    <w:p>
      <w:pPr>
        <w:spacing w:line="500" w:lineRule="exact"/>
        <w:jc w:val="left"/>
        <w:textAlignment w:val="baseline"/>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2.2.1、新装开关柜技术要求</w:t>
      </w:r>
    </w:p>
    <w:p>
      <w:pPr>
        <w:widowControl/>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1.开关柜尺寸：高*宽*深*板厚=2200*600*800*2mm，柜型GGD,右侧终端封板。柜体材料使用优质钢板喷塑防腐，颜色:灰色；防护等级≥IP40.</w:t>
      </w:r>
    </w:p>
    <w:p>
      <w:pPr>
        <w:widowControl/>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2.开关柜前后开门，落地式安装；进出线电缆从配电室原开关柜沿电缆沟从新装开关柜柜底接入，连接电缆敷设施工要求为</w:t>
      </w:r>
      <w:r>
        <w:rPr>
          <w:rFonts w:hint="eastAsia" w:hAnsi="宋体" w:cs="宋体"/>
          <w:bCs/>
          <w:sz w:val="28"/>
          <w:szCs w:val="28"/>
        </w:rPr>
        <w:t>ZRYJV22-1KV/2*（4*185+1*95）</w:t>
      </w:r>
      <w:r>
        <w:rPr>
          <w:rFonts w:hint="eastAsia" w:cs="宋体" w:asciiTheme="minorEastAsia" w:hAnsiTheme="minorEastAsia" w:eastAsiaTheme="minorEastAsia"/>
          <w:bCs/>
          <w:sz w:val="28"/>
          <w:szCs w:val="28"/>
        </w:rPr>
        <w:t>；开关柜底部应安装电缆固定支架和制作安装基础并按电力安装规范做好接地。</w:t>
      </w:r>
    </w:p>
    <w:p>
      <w:pPr>
        <w:widowControl/>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3.新装开关柜内配置CW3-1000/630A/ 4P（智能控制器EQ37，电压AC230V+FDY专用电源模块）抽屉式智能断路器1台、多功能液晶表1块（显示U/I /P），BH-0.66 (600/5A)互感器3只，分合按钮、指示灯等二次辅材1组。</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4.开关柜柜门上设置指示灯1组；配置数显表一块。数显表有显示电流、电压、正反向有功功率、无功功率、谐波、频率、</w:t>
      </w:r>
      <w:r>
        <w:rPr>
          <w:rFonts w:hint="eastAsia" w:asciiTheme="minorEastAsia" w:hAnsiTheme="minorEastAsia" w:eastAsiaTheme="minorEastAsia"/>
          <w:sz w:val="28"/>
          <w:szCs w:val="28"/>
        </w:rPr>
        <w:t>不平衡电压/电流</w:t>
      </w:r>
      <w:r>
        <w:rPr>
          <w:rFonts w:hint="eastAsia" w:cs="宋体" w:asciiTheme="minorEastAsia" w:hAnsiTheme="minorEastAsia" w:eastAsiaTheme="minorEastAsia"/>
          <w:bCs/>
          <w:sz w:val="28"/>
          <w:szCs w:val="28"/>
        </w:rPr>
        <w:t>等参数的功能，</w:t>
      </w:r>
      <w:r>
        <w:rPr>
          <w:rFonts w:hint="eastAsia" w:asciiTheme="minorEastAsia" w:hAnsiTheme="minorEastAsia" w:eastAsiaTheme="minorEastAsia"/>
          <w:sz w:val="28"/>
          <w:szCs w:val="28"/>
        </w:rPr>
        <w:t>提供串行异步半工RS485通讯接口，采用Modbus-RTU协议，各种数据信息均可在通讯线路上传送</w:t>
      </w:r>
      <w:r>
        <w:rPr>
          <w:rFonts w:hint="eastAsia" w:cs="宋体" w:asciiTheme="minorEastAsia" w:hAnsiTheme="minorEastAsia" w:eastAsiaTheme="minorEastAsia"/>
          <w:bCs/>
          <w:sz w:val="28"/>
          <w:szCs w:val="28"/>
        </w:rPr>
        <w:t>。</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5.柜内导电裸露处应有防触电绝缘措施。</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6.本项目工作包含给开关柜提供电源的上级开关柜母线进行必要改造、电缆敷设、现场制作安装等，其标准化要求应满足电力设备安装的相关规定。投标人应考虑该事项中可能发生的材料、夜间施工、多次间歇性施工、人工等费用，招标人不再增加任何费用。</w:t>
      </w:r>
    </w:p>
    <w:p>
      <w:pPr>
        <w:spacing w:line="500" w:lineRule="exact"/>
        <w:ind w:firstLine="560" w:firstLineChars="200"/>
        <w:jc w:val="left"/>
        <w:textAlignment w:val="baseline"/>
        <w:rPr>
          <w:rFonts w:cs="宋体" w:asciiTheme="minorEastAsia" w:hAnsiTheme="minorEastAsia" w:eastAsiaTheme="minorEastAsia"/>
          <w:bCs/>
          <w:color w:val="FF0000"/>
          <w:sz w:val="28"/>
          <w:szCs w:val="28"/>
        </w:rPr>
      </w:pPr>
      <w:r>
        <w:rPr>
          <w:rFonts w:hint="eastAsia" w:cs="宋体" w:asciiTheme="minorEastAsia" w:hAnsiTheme="minorEastAsia" w:eastAsiaTheme="minorEastAsia"/>
          <w:bCs/>
          <w:sz w:val="28"/>
          <w:szCs w:val="28"/>
        </w:rPr>
        <w:t>7.本项目工作完成后，由投标人提供当地国家电网公司相关部门出具的项目检测合格报告，作为本项目验收合格送电的凭证。</w:t>
      </w:r>
    </w:p>
    <w:p>
      <w:pPr>
        <w:spacing w:line="500" w:lineRule="exact"/>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
          <w:kern w:val="0"/>
          <w:sz w:val="28"/>
          <w:szCs w:val="28"/>
        </w:rPr>
        <w:t>3.</w:t>
      </w:r>
      <w:r>
        <w:rPr>
          <w:rFonts w:cs="宋体" w:asciiTheme="minorEastAsia" w:hAnsiTheme="minorEastAsia" w:eastAsiaTheme="minorEastAsia"/>
          <w:b/>
          <w:kern w:val="0"/>
          <w:sz w:val="28"/>
          <w:szCs w:val="28"/>
        </w:rPr>
        <w:t>3</w:t>
      </w:r>
      <w:r>
        <w:rPr>
          <w:rFonts w:hint="eastAsia" w:cs="宋体" w:asciiTheme="minorEastAsia" w:hAnsiTheme="minorEastAsia" w:eastAsiaTheme="minorEastAsia"/>
          <w:b/>
          <w:kern w:val="0"/>
          <w:sz w:val="28"/>
          <w:szCs w:val="28"/>
        </w:rPr>
        <w:t>商务要求</w:t>
      </w:r>
    </w:p>
    <w:p>
      <w:pPr>
        <w:spacing w:line="500" w:lineRule="exact"/>
        <w:ind w:firstLine="560" w:firstLineChars="200"/>
        <w:jc w:val="left"/>
        <w:textAlignment w:val="baseline"/>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Cs/>
          <w:sz w:val="28"/>
          <w:szCs w:val="28"/>
        </w:rPr>
        <w:t>投标资料要求：投标人须指定现场施工负责人1人和施工人员不少于3人。现场施工负责人应持有电气工程专业或电力系统及其自动化专业初级及以上工程师职称证书及设备安装施工员2023年度继续教育合格证明文件；现场施工人员应持有在有效期内的特种作业操作证（类别：电工作业）。（投标文件须提供身份证复印件和职称证明文件复印件）。</w:t>
      </w:r>
    </w:p>
    <w:p>
      <w:pPr>
        <w:spacing w:line="500" w:lineRule="exact"/>
        <w:ind w:firstLine="560" w:firstLineChars="200"/>
        <w:jc w:val="left"/>
        <w:textAlignment w:val="baseline"/>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工期：合同签订后7个工作日内完成。</w:t>
      </w:r>
    </w:p>
    <w:p>
      <w:pPr>
        <w:spacing w:line="500" w:lineRule="exact"/>
        <w:ind w:firstLine="560" w:firstLineChars="200"/>
        <w:jc w:val="left"/>
        <w:textAlignment w:val="baseline"/>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地点：宜昌市中心人民医院</w:t>
      </w:r>
      <w:r>
        <w:rPr>
          <w:rFonts w:hint="eastAsia" w:asciiTheme="minorEastAsia" w:hAnsiTheme="minorEastAsia" w:eastAsiaTheme="minorEastAsia"/>
          <w:sz w:val="28"/>
          <w:szCs w:val="28"/>
        </w:rPr>
        <w:t>内科楼配电室，投标人按招标文件给出的设备清单和技术要求提供产品和服务。</w:t>
      </w:r>
    </w:p>
    <w:p>
      <w:pPr>
        <w:spacing w:line="500" w:lineRule="exact"/>
        <w:ind w:firstLine="560" w:firstLineChars="200"/>
        <w:jc w:val="left"/>
        <w:textAlignment w:val="baseline"/>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付款条件及方式：中标服务商施工</w:t>
      </w:r>
      <w:r>
        <w:rPr>
          <w:rFonts w:hint="eastAsia" w:cs="Courier New" w:asciiTheme="minorEastAsia" w:hAnsiTheme="minorEastAsia" w:eastAsiaTheme="minorEastAsia"/>
          <w:spacing w:val="2"/>
          <w:sz w:val="28"/>
          <w:szCs w:val="28"/>
        </w:rPr>
        <w:t>完毕，</w:t>
      </w:r>
      <w:r>
        <w:rPr>
          <w:rFonts w:hint="eastAsia" w:cs="宋体" w:asciiTheme="minorEastAsia" w:hAnsiTheme="minorEastAsia" w:eastAsiaTheme="minorEastAsia"/>
          <w:bCs/>
          <w:sz w:val="28"/>
          <w:szCs w:val="28"/>
        </w:rPr>
        <w:t>提供当地国家电网公司相关部门出具的项目检测合格报告，以作为本项目验收合格送电的凭证。</w:t>
      </w:r>
      <w:r>
        <w:rPr>
          <w:rFonts w:hint="eastAsia" w:cs="Courier New" w:asciiTheme="minorEastAsia" w:hAnsiTheme="minorEastAsia" w:eastAsiaTheme="minorEastAsia"/>
          <w:spacing w:val="2"/>
          <w:sz w:val="28"/>
          <w:szCs w:val="28"/>
        </w:rPr>
        <w:t>双方</w:t>
      </w:r>
      <w:r>
        <w:rPr>
          <w:rFonts w:hint="eastAsia" w:cs="宋体" w:asciiTheme="minorEastAsia" w:hAnsiTheme="minorEastAsia" w:eastAsiaTheme="minorEastAsia"/>
          <w:kern w:val="0"/>
          <w:sz w:val="28"/>
          <w:szCs w:val="28"/>
        </w:rPr>
        <w:t>验收合格送电</w:t>
      </w:r>
      <w:r>
        <w:rPr>
          <w:rFonts w:hint="eastAsia" w:cs="Courier New" w:asciiTheme="minorEastAsia" w:hAnsiTheme="minorEastAsia" w:eastAsiaTheme="minorEastAsia"/>
          <w:spacing w:val="2"/>
          <w:sz w:val="28"/>
          <w:szCs w:val="28"/>
        </w:rPr>
        <w:t>后</w:t>
      </w:r>
      <w:r>
        <w:rPr>
          <w:rFonts w:hint="eastAsia" w:cs="宋体" w:asciiTheme="minorEastAsia" w:hAnsiTheme="minorEastAsia" w:eastAsiaTheme="minorEastAsia"/>
          <w:bCs/>
          <w:sz w:val="28"/>
          <w:szCs w:val="28"/>
        </w:rPr>
        <w:t>，</w:t>
      </w:r>
      <w:r>
        <w:rPr>
          <w:rFonts w:hint="eastAsia" w:cs="宋体" w:asciiTheme="minorEastAsia" w:hAnsiTheme="minorEastAsia" w:eastAsiaTheme="minorEastAsia"/>
          <w:kern w:val="0"/>
          <w:sz w:val="28"/>
          <w:szCs w:val="28"/>
        </w:rPr>
        <w:t>20个工作日</w:t>
      </w:r>
      <w:r>
        <w:rPr>
          <w:rFonts w:hint="eastAsia" w:cs="宋体" w:asciiTheme="minorEastAsia" w:hAnsiTheme="minorEastAsia" w:eastAsiaTheme="minorEastAsia"/>
          <w:bCs/>
          <w:sz w:val="28"/>
          <w:szCs w:val="28"/>
        </w:rPr>
        <w:t>内支付实际货款总金额95%款项，剩余的5%在壹年期（验收合格之日起）满后20个工作日内若无质量问题无息付清。</w:t>
      </w:r>
    </w:p>
    <w:p>
      <w:pPr>
        <w:spacing w:line="500" w:lineRule="exact"/>
        <w:ind w:firstLine="560" w:firstLineChars="200"/>
        <w:jc w:val="left"/>
        <w:textAlignment w:val="baseline"/>
        <w:rPr>
          <w:rFonts w:ascii="宋体" w:hAnsi="宋体" w:cs="宋体"/>
          <w:kern w:val="0"/>
          <w:sz w:val="28"/>
          <w:szCs w:val="28"/>
        </w:rPr>
      </w:pPr>
      <w:r>
        <w:rPr>
          <w:rFonts w:hint="eastAsia" w:cs="宋体" w:asciiTheme="minorEastAsia" w:hAnsiTheme="minorEastAsia" w:eastAsiaTheme="minorEastAsia"/>
          <w:kern w:val="0"/>
          <w:sz w:val="28"/>
          <w:szCs w:val="28"/>
        </w:rPr>
        <w:t>质保期：壹年。</w:t>
      </w:r>
    </w:p>
    <w:p>
      <w:pPr>
        <w:spacing w:line="500" w:lineRule="exact"/>
        <w:jc w:val="left"/>
        <w:textAlignment w:val="baseline"/>
        <w:rPr>
          <w:rFonts w:ascii="宋体" w:hAnsi="宋体" w:cs="宋体"/>
          <w:b/>
          <w:kern w:val="0"/>
          <w:sz w:val="28"/>
          <w:szCs w:val="28"/>
        </w:rPr>
      </w:pPr>
      <w:r>
        <w:rPr>
          <w:rFonts w:hint="eastAsia" w:ascii="宋体" w:hAnsi="宋体" w:cs="宋体"/>
          <w:b/>
          <w:kern w:val="0"/>
          <w:sz w:val="28"/>
          <w:szCs w:val="28"/>
        </w:rPr>
        <w:t>四、资格性审查和符合性审查</w:t>
      </w:r>
    </w:p>
    <w:p>
      <w:pPr>
        <w:spacing w:line="500" w:lineRule="exact"/>
        <w:jc w:val="center"/>
        <w:textAlignment w:val="baseline"/>
        <w:rPr>
          <w:rFonts w:ascii="宋体" w:hAnsi="宋体" w:cs="宋体"/>
          <w:kern w:val="0"/>
          <w:sz w:val="28"/>
          <w:szCs w:val="28"/>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91"/>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gridSpan w:val="2"/>
            <w:tcBorders>
              <w:top w:val="single" w:color="auto" w:sz="4" w:space="0"/>
              <w:left w:val="single" w:color="auto" w:sz="4" w:space="0"/>
              <w:right w:val="single" w:color="auto" w:sz="4" w:space="0"/>
            </w:tcBorders>
            <w:vAlign w:val="center"/>
          </w:tcPr>
          <w:p>
            <w:pPr>
              <w:spacing w:line="500" w:lineRule="exact"/>
              <w:jc w:val="center"/>
              <w:textAlignment w:val="baseline"/>
              <w:rPr>
                <w:rFonts w:ascii="宋体" w:hAnsi="宋体"/>
                <w:b/>
                <w:sz w:val="24"/>
                <w:szCs w:val="24"/>
              </w:rPr>
            </w:pPr>
            <w:r>
              <w:rPr>
                <w:rFonts w:hint="eastAsia" w:ascii="宋体" w:hAnsi="宋体"/>
                <w:b/>
                <w:sz w:val="24"/>
                <w:szCs w:val="24"/>
              </w:rPr>
              <w:t>审查内容</w:t>
            </w:r>
          </w:p>
        </w:tc>
        <w:tc>
          <w:tcPr>
            <w:tcW w:w="5497" w:type="dxa"/>
            <w:tcBorders>
              <w:left w:val="single" w:color="auto" w:sz="4" w:space="0"/>
            </w:tcBorders>
            <w:vAlign w:val="center"/>
          </w:tcPr>
          <w:p>
            <w:pPr>
              <w:spacing w:line="500" w:lineRule="exact"/>
              <w:jc w:val="center"/>
              <w:textAlignment w:val="baseline"/>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rPr>
            </w:pPr>
            <w:r>
              <w:rPr>
                <w:rFonts w:hint="eastAsia" w:ascii="宋体" w:hAnsi="宋体"/>
                <w:sz w:val="24"/>
              </w:rPr>
              <w:t>具有独立承担民事责任的能力</w:t>
            </w:r>
          </w:p>
        </w:tc>
        <w:tc>
          <w:tcPr>
            <w:tcW w:w="5497" w:type="dxa"/>
            <w:tcBorders>
              <w:left w:val="single" w:color="auto" w:sz="4" w:space="0"/>
            </w:tcBorders>
            <w:vAlign w:val="center"/>
          </w:tcPr>
          <w:p>
            <w:pPr>
              <w:spacing w:line="500" w:lineRule="exact"/>
              <w:textAlignment w:val="baseline"/>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rPr>
            </w:pPr>
            <w:r>
              <w:rPr>
                <w:rFonts w:hint="eastAsia" w:ascii="宋体" w:hAnsi="宋体"/>
                <w:sz w:val="24"/>
              </w:rPr>
              <w:t>主体信用记录</w:t>
            </w:r>
          </w:p>
        </w:tc>
        <w:tc>
          <w:tcPr>
            <w:tcW w:w="5497" w:type="dxa"/>
            <w:tcBorders>
              <w:lef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5497"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rPr>
            </w:pPr>
            <w:r>
              <w:rPr>
                <w:rFonts w:hint="eastAsia" w:ascii="宋体" w:hAnsi="宋体"/>
                <w:sz w:val="24"/>
              </w:rPr>
              <w:t>联合体</w:t>
            </w:r>
          </w:p>
        </w:tc>
        <w:tc>
          <w:tcPr>
            <w:tcW w:w="5497" w:type="dxa"/>
            <w:tcBorders>
              <w:left w:val="single" w:color="auto" w:sz="4" w:space="0"/>
            </w:tcBorders>
            <w:vAlign w:val="center"/>
          </w:tcPr>
          <w:p>
            <w:pPr>
              <w:spacing w:line="500" w:lineRule="exact"/>
              <w:textAlignment w:val="baseline"/>
              <w:rPr>
                <w:rFonts w:ascii="宋体" w:hAnsi="宋体"/>
                <w:sz w:val="24"/>
              </w:rPr>
            </w:pPr>
            <w:r>
              <w:rPr>
                <w:rFonts w:hint="eastAsia" w:ascii="宋体" w:hAnsi="宋体"/>
                <w:sz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符合性审查</w:t>
            </w: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投标人名称</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投标文件签署</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投标报价</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jc w:val="left"/>
              <w:textAlignment w:val="baseline"/>
              <w:rPr>
                <w:rFonts w:ascii="宋体" w:hAnsi="宋体"/>
                <w:sz w:val="24"/>
              </w:rPr>
            </w:pPr>
            <w:r>
              <w:rPr>
                <w:rFonts w:hint="eastAsia" w:ascii="宋体" w:hAnsi="宋体"/>
                <w:sz w:val="24"/>
              </w:rPr>
              <w:t>采购需求</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jc w:val="left"/>
              <w:textAlignment w:val="baseline"/>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500" w:lineRule="exact"/>
              <w:textAlignment w:val="baseline"/>
              <w:rPr>
                <w:rFonts w:ascii="宋体" w:hAnsi="宋体"/>
                <w:sz w:val="24"/>
                <w:szCs w:val="24"/>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500" w:lineRule="exact"/>
              <w:jc w:val="left"/>
              <w:textAlignment w:val="baseline"/>
              <w:rPr>
                <w:rFonts w:ascii="宋体" w:hAnsi="宋体"/>
                <w:sz w:val="24"/>
              </w:rPr>
            </w:pPr>
            <w:r>
              <w:rPr>
                <w:rFonts w:hint="eastAsia" w:ascii="宋体" w:hAnsi="宋体"/>
                <w:sz w:val="24"/>
              </w:rPr>
              <w:t>其他要求</w:t>
            </w:r>
          </w:p>
        </w:tc>
        <w:tc>
          <w:tcPr>
            <w:tcW w:w="5497" w:type="dxa"/>
            <w:tcBorders>
              <w:top w:val="single" w:color="auto" w:sz="4" w:space="0"/>
              <w:left w:val="single" w:color="auto" w:sz="4" w:space="0"/>
              <w:bottom w:val="single" w:color="auto" w:sz="4" w:space="0"/>
              <w:right w:val="single" w:color="auto" w:sz="4" w:space="0"/>
            </w:tcBorders>
            <w:vAlign w:val="center"/>
          </w:tcPr>
          <w:p>
            <w:pPr>
              <w:spacing w:line="500" w:lineRule="exact"/>
              <w:jc w:val="left"/>
              <w:textAlignment w:val="baseline"/>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354"/>
      <w:bookmarkStart w:id="2" w:name="_Toc462487372"/>
      <w:bookmarkStart w:id="3" w:name="_Toc456291280"/>
      <w:bookmarkStart w:id="4" w:name="_Toc456291165"/>
      <w:bookmarkStart w:id="5" w:name="_Toc456291537"/>
      <w:bookmarkStart w:id="6" w:name="_Toc456291260"/>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9"/>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9"/>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9"/>
        <w:jc w:val="both"/>
        <w:rPr>
          <w:b w:val="0"/>
        </w:rPr>
      </w:pPr>
    </w:p>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9"/>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30"/>
        <w:rPr>
          <w:sz w:val="28"/>
          <w:szCs w:val="28"/>
        </w:rPr>
      </w:pPr>
    </w:p>
    <w:p>
      <w:pPr>
        <w:spacing w:line="400" w:lineRule="exact"/>
        <w:ind w:left="-141" w:leftChars="-67" w:right="-197" w:firstLine="560" w:firstLineChars="200"/>
        <w:jc w:val="left"/>
        <w:textAlignment w:val="baseline"/>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04DC6"/>
    <w:multiLevelType w:val="singleLevel"/>
    <w:tmpl w:val="04404D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582C"/>
    <w:rsid w:val="000D6BB4"/>
    <w:rsid w:val="000E1758"/>
    <w:rsid w:val="000E3314"/>
    <w:rsid w:val="000F095F"/>
    <w:rsid w:val="000F1370"/>
    <w:rsid w:val="000F4569"/>
    <w:rsid w:val="000F7493"/>
    <w:rsid w:val="001049A5"/>
    <w:rsid w:val="001153D5"/>
    <w:rsid w:val="00116FC5"/>
    <w:rsid w:val="0011773F"/>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B557E"/>
    <w:rsid w:val="001C342D"/>
    <w:rsid w:val="001C4A30"/>
    <w:rsid w:val="001C511C"/>
    <w:rsid w:val="001C5EE8"/>
    <w:rsid w:val="001D682D"/>
    <w:rsid w:val="001F1AD5"/>
    <w:rsid w:val="001F4223"/>
    <w:rsid w:val="001F4562"/>
    <w:rsid w:val="002002B4"/>
    <w:rsid w:val="0020168B"/>
    <w:rsid w:val="0021069F"/>
    <w:rsid w:val="00210978"/>
    <w:rsid w:val="00210FF7"/>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3AE1"/>
    <w:rsid w:val="00306D33"/>
    <w:rsid w:val="0030740C"/>
    <w:rsid w:val="00311434"/>
    <w:rsid w:val="00311489"/>
    <w:rsid w:val="00312F37"/>
    <w:rsid w:val="003179F5"/>
    <w:rsid w:val="00322EDC"/>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07F4"/>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933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0C0"/>
    <w:rsid w:val="00503601"/>
    <w:rsid w:val="00504A4B"/>
    <w:rsid w:val="0051472B"/>
    <w:rsid w:val="00521CC1"/>
    <w:rsid w:val="0052240D"/>
    <w:rsid w:val="00522EC8"/>
    <w:rsid w:val="00531FB0"/>
    <w:rsid w:val="00533645"/>
    <w:rsid w:val="005455AF"/>
    <w:rsid w:val="0055245D"/>
    <w:rsid w:val="00561CBB"/>
    <w:rsid w:val="00564A6B"/>
    <w:rsid w:val="0056505F"/>
    <w:rsid w:val="0056741D"/>
    <w:rsid w:val="00573DED"/>
    <w:rsid w:val="00574751"/>
    <w:rsid w:val="00576AD2"/>
    <w:rsid w:val="00586638"/>
    <w:rsid w:val="00593CE2"/>
    <w:rsid w:val="00597493"/>
    <w:rsid w:val="005A2360"/>
    <w:rsid w:val="005A3835"/>
    <w:rsid w:val="005A39C2"/>
    <w:rsid w:val="005A7EA2"/>
    <w:rsid w:val="005B302D"/>
    <w:rsid w:val="005B6939"/>
    <w:rsid w:val="005B7B08"/>
    <w:rsid w:val="005C0FA3"/>
    <w:rsid w:val="005C4A36"/>
    <w:rsid w:val="005E6E87"/>
    <w:rsid w:val="005F1DE4"/>
    <w:rsid w:val="005F4601"/>
    <w:rsid w:val="00601A2A"/>
    <w:rsid w:val="00605951"/>
    <w:rsid w:val="00605EDC"/>
    <w:rsid w:val="006061B5"/>
    <w:rsid w:val="00615F70"/>
    <w:rsid w:val="00616A00"/>
    <w:rsid w:val="006175DF"/>
    <w:rsid w:val="006212AD"/>
    <w:rsid w:val="006300B6"/>
    <w:rsid w:val="00644CE6"/>
    <w:rsid w:val="00645B11"/>
    <w:rsid w:val="00661044"/>
    <w:rsid w:val="00666381"/>
    <w:rsid w:val="00672A37"/>
    <w:rsid w:val="0067365F"/>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275D8"/>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0913"/>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E7B4B"/>
    <w:rsid w:val="008F3009"/>
    <w:rsid w:val="008F4804"/>
    <w:rsid w:val="00903484"/>
    <w:rsid w:val="00911E15"/>
    <w:rsid w:val="00914444"/>
    <w:rsid w:val="00914F1D"/>
    <w:rsid w:val="0092080F"/>
    <w:rsid w:val="00925347"/>
    <w:rsid w:val="009309C0"/>
    <w:rsid w:val="00935D42"/>
    <w:rsid w:val="009379AB"/>
    <w:rsid w:val="00940C84"/>
    <w:rsid w:val="00940F23"/>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85CE5"/>
    <w:rsid w:val="00B935A2"/>
    <w:rsid w:val="00B95FB1"/>
    <w:rsid w:val="00BA0A7E"/>
    <w:rsid w:val="00BA1976"/>
    <w:rsid w:val="00BA33FA"/>
    <w:rsid w:val="00BA3621"/>
    <w:rsid w:val="00BA3E34"/>
    <w:rsid w:val="00BA6F69"/>
    <w:rsid w:val="00BC2D8C"/>
    <w:rsid w:val="00BD07F4"/>
    <w:rsid w:val="00BD1F5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518C"/>
    <w:rsid w:val="00CD7916"/>
    <w:rsid w:val="00CE3B70"/>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D79FE"/>
    <w:rsid w:val="00DE44FF"/>
    <w:rsid w:val="00DE46B5"/>
    <w:rsid w:val="00DE6E95"/>
    <w:rsid w:val="00DF0248"/>
    <w:rsid w:val="00DF328A"/>
    <w:rsid w:val="00E07B65"/>
    <w:rsid w:val="00E12CB9"/>
    <w:rsid w:val="00E13157"/>
    <w:rsid w:val="00E134CC"/>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B3503"/>
    <w:rsid w:val="00EC0674"/>
    <w:rsid w:val="00EC2071"/>
    <w:rsid w:val="00EC59DA"/>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53FB"/>
    <w:rsid w:val="00FB6AA0"/>
    <w:rsid w:val="00FD747B"/>
    <w:rsid w:val="00FE0ABE"/>
    <w:rsid w:val="00FE10E9"/>
    <w:rsid w:val="00FF13F6"/>
    <w:rsid w:val="00FF5CBF"/>
    <w:rsid w:val="00FF5E04"/>
    <w:rsid w:val="00FF6155"/>
    <w:rsid w:val="020253C1"/>
    <w:rsid w:val="06314549"/>
    <w:rsid w:val="0AC979EA"/>
    <w:rsid w:val="0B27546B"/>
    <w:rsid w:val="0E7D13B2"/>
    <w:rsid w:val="0EE44B62"/>
    <w:rsid w:val="0FAA11AA"/>
    <w:rsid w:val="11D0511D"/>
    <w:rsid w:val="141D3BC9"/>
    <w:rsid w:val="17BD20FF"/>
    <w:rsid w:val="1A2318FB"/>
    <w:rsid w:val="1A9B4A77"/>
    <w:rsid w:val="1E291BE1"/>
    <w:rsid w:val="1FC63B11"/>
    <w:rsid w:val="1FFE30AD"/>
    <w:rsid w:val="20115E24"/>
    <w:rsid w:val="307F2235"/>
    <w:rsid w:val="35233F26"/>
    <w:rsid w:val="359C5403"/>
    <w:rsid w:val="3CC03886"/>
    <w:rsid w:val="3D5050A8"/>
    <w:rsid w:val="473D3E2F"/>
    <w:rsid w:val="4F0B2105"/>
    <w:rsid w:val="56914A22"/>
    <w:rsid w:val="5A2055FA"/>
    <w:rsid w:val="63606D64"/>
    <w:rsid w:val="684D505F"/>
    <w:rsid w:val="710B0AED"/>
    <w:rsid w:val="7580449E"/>
    <w:rsid w:val="760478C2"/>
    <w:rsid w:val="7D6442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semiHidden/>
    <w:qFormat/>
    <w:uiPriority w:val="99"/>
    <w:pPr>
      <w:jc w:val="left"/>
    </w:pPr>
    <w:rPr>
      <w:rFonts w:cs="Times New Roman"/>
    </w:rPr>
  </w:style>
  <w:style w:type="paragraph" w:styleId="5">
    <w:name w:val="Plain Text"/>
    <w:basedOn w:val="1"/>
    <w:link w:val="24"/>
    <w:qFormat/>
    <w:uiPriority w:val="0"/>
    <w:rPr>
      <w:rFonts w:ascii="宋体" w:hAnsi="Courier New" w:cs="Times New Roman"/>
    </w:rPr>
  </w:style>
  <w:style w:type="paragraph" w:styleId="6">
    <w:name w:val="Balloon Text"/>
    <w:basedOn w:val="1"/>
    <w:link w:val="20"/>
    <w:autoRedefine/>
    <w:semiHidden/>
    <w:qFormat/>
    <w:uiPriority w:val="99"/>
    <w:rPr>
      <w:rFonts w:ascii="Times New Roman" w:hAnsi="Times New Roman" w:cs="Times New Roman"/>
      <w:kern w:val="0"/>
      <w:sz w:val="18"/>
      <w:szCs w:val="18"/>
    </w:rPr>
  </w:style>
  <w:style w:type="paragraph" w:styleId="7">
    <w:name w:val="footer"/>
    <w:basedOn w:val="1"/>
    <w:link w:val="17"/>
    <w:autoRedefine/>
    <w:qFormat/>
    <w:uiPriority w:val="99"/>
    <w:pPr>
      <w:tabs>
        <w:tab w:val="center" w:pos="4153"/>
        <w:tab w:val="right" w:pos="8306"/>
      </w:tabs>
      <w:snapToGrid w:val="0"/>
      <w:jc w:val="left"/>
    </w:pPr>
    <w:rPr>
      <w:rFonts w:cs="Times New Roman"/>
      <w:kern w:val="0"/>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customStyle="1" w:styleId="14">
    <w:name w:val="标题 1 Char"/>
    <w:link w:val="2"/>
    <w:autoRedefine/>
    <w:qFormat/>
    <w:locked/>
    <w:uiPriority w:val="0"/>
    <w:rPr>
      <w:b/>
      <w:bCs/>
      <w:kern w:val="44"/>
      <w:sz w:val="44"/>
      <w:szCs w:val="44"/>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locked/>
    <w:uiPriority w:val="0"/>
    <w:rPr>
      <w:rFonts w:ascii="宋体" w:hAnsi="Courier New" w:cs="宋体"/>
      <w:kern w:val="2"/>
      <w:sz w:val="21"/>
      <w:szCs w:val="21"/>
    </w:rPr>
  </w:style>
  <w:style w:type="paragraph" w:customStyle="1" w:styleId="25">
    <w:name w:val="正文_4"/>
    <w:autoRedefine/>
    <w:qFormat/>
    <w:uiPriority w:val="0"/>
    <w:pPr>
      <w:widowControl w:val="0"/>
    </w:pPr>
    <w:rPr>
      <w:rFonts w:ascii="等线" w:hAnsi="等线" w:eastAsia="宋体" w:cs="等线"/>
      <w:kern w:val="2"/>
      <w:sz w:val="24"/>
      <w:szCs w:val="24"/>
      <w:lang w:val="en-US" w:eastAsia="zh-CN" w:bidi="ar-SA"/>
    </w:rPr>
  </w:style>
  <w:style w:type="paragraph" w:customStyle="1" w:styleId="26">
    <w:name w:val="正文_0_0"/>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27">
    <w:name w:val="批注文字 Char"/>
    <w:link w:val="4"/>
    <w:autoRedefine/>
    <w:qFormat/>
    <w:locked/>
    <w:uiPriority w:val="99"/>
    <w:rPr>
      <w:kern w:val="2"/>
      <w:sz w:val="21"/>
      <w:szCs w:val="21"/>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BB26-A31B-411B-B7ED-343D09643B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886</Words>
  <Characters>5056</Characters>
  <Lines>42</Lines>
  <Paragraphs>11</Paragraphs>
  <TotalTime>0</TotalTime>
  <ScaleCrop>false</ScaleCrop>
  <LinksUpToDate>false</LinksUpToDate>
  <CharactersWithSpaces>5931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2021-11-19T06:34:00Z</dcterms:created>
  <dc:creator>dell</dc:creator>
  <cp:lastModifiedBy>Administrator</cp:lastModifiedBy>
  <cp:lastPrinted>2019-01-17T03:05:00Z</cp:lastPrinted>
  <dcterms:modified xsi:type="dcterms:W3CDTF">2024-04-08T03:42:03Z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56F44FE6A4D0444C8A546D729947FBC1_13</vt:lpwstr>
  </property>
</Properties>
</file>