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2"/>
        </w:rPr>
      </w:pPr>
      <w:r>
        <w:rPr>
          <w:rFonts w:hint="eastAsia"/>
          <w:b/>
          <w:sz w:val="36"/>
          <w:szCs w:val="32"/>
        </w:rPr>
        <w:t>宜昌市</w:t>
      </w:r>
      <w:r>
        <w:rPr>
          <w:b/>
          <w:sz w:val="36"/>
          <w:szCs w:val="32"/>
        </w:rPr>
        <w:t>中心人民医院</w:t>
      </w:r>
    </w:p>
    <w:p>
      <w:pPr>
        <w:jc w:val="center"/>
        <w:rPr>
          <w:b/>
          <w:sz w:val="36"/>
          <w:szCs w:val="32"/>
        </w:rPr>
      </w:pPr>
      <w:r>
        <w:rPr>
          <w:rFonts w:hint="eastAsia"/>
          <w:b/>
          <w:sz w:val="36"/>
          <w:szCs w:val="32"/>
        </w:rPr>
        <w:t>单一来源采购征求意见公示</w:t>
      </w:r>
    </w:p>
    <w:p>
      <w:pPr>
        <w:widowControl/>
        <w:spacing w:line="500" w:lineRule="exact"/>
        <w:ind w:firstLine="560" w:firstLineChars="200"/>
        <w:jc w:val="left"/>
        <w:rPr>
          <w:rFonts w:ascii="宋体" w:hAnsi="宋体" w:cs="宋体"/>
          <w:kern w:val="0"/>
          <w:sz w:val="28"/>
        </w:rPr>
      </w:pPr>
      <w:r>
        <w:rPr>
          <w:rFonts w:hint="eastAsia" w:ascii="宋体" w:hAnsi="宋体" w:cs="宋体"/>
          <w:kern w:val="0"/>
          <w:sz w:val="28"/>
        </w:rPr>
        <w:t>宜昌中心人民医院2024年体检流程管理系统运维服务项目拟采用单一来源方式采购，该项目拟由上海勤方信息技术有限公司提供。现将有关情况向潜在政府采购供应商征求意见，公示内容如下：</w:t>
      </w:r>
    </w:p>
    <w:p>
      <w:pPr>
        <w:widowControl/>
        <w:spacing w:line="500" w:lineRule="exact"/>
        <w:ind w:firstLine="560" w:firstLineChars="200"/>
        <w:jc w:val="left"/>
        <w:rPr>
          <w:rFonts w:ascii="宋体" w:hAnsi="宋体" w:cs="宋体"/>
          <w:kern w:val="0"/>
          <w:sz w:val="28"/>
        </w:rPr>
      </w:pPr>
      <w:r>
        <w:rPr>
          <w:rFonts w:hint="eastAsia" w:ascii="宋体" w:hAnsi="宋体" w:cs="宋体"/>
          <w:kern w:val="0"/>
          <w:sz w:val="28"/>
        </w:rPr>
        <w:t>1、项目编号：</w:t>
      </w:r>
      <w:r>
        <w:rPr>
          <w:rFonts w:hint="eastAsia" w:ascii="宋体" w:hAnsi="宋体" w:cs="宋体"/>
          <w:kern w:val="0"/>
          <w:sz w:val="28"/>
          <w:szCs w:val="28"/>
        </w:rPr>
        <w:t>YCZXYYZB-2024-A3016</w:t>
      </w:r>
    </w:p>
    <w:p>
      <w:pPr>
        <w:widowControl/>
        <w:spacing w:line="500" w:lineRule="exact"/>
        <w:ind w:firstLine="560" w:firstLineChars="200"/>
        <w:jc w:val="left"/>
        <w:rPr>
          <w:rFonts w:ascii="宋体" w:hAnsi="宋体" w:cs="宋体"/>
          <w:kern w:val="0"/>
          <w:sz w:val="28"/>
        </w:rPr>
      </w:pPr>
      <w:r>
        <w:rPr>
          <w:rFonts w:ascii="宋体" w:hAnsi="宋体" w:cs="宋体"/>
          <w:kern w:val="0"/>
          <w:sz w:val="28"/>
        </w:rPr>
        <w:t>2</w:t>
      </w:r>
      <w:r>
        <w:rPr>
          <w:rFonts w:hint="eastAsia" w:ascii="宋体" w:hAnsi="宋体" w:cs="宋体"/>
          <w:kern w:val="0"/>
          <w:sz w:val="28"/>
        </w:rPr>
        <w:t>、</w:t>
      </w:r>
      <w:r>
        <w:rPr>
          <w:rFonts w:ascii="宋体" w:hAnsi="宋体" w:cs="宋体"/>
          <w:kern w:val="0"/>
          <w:sz w:val="28"/>
        </w:rPr>
        <w:t>项目名称</w:t>
      </w:r>
      <w:r>
        <w:rPr>
          <w:rFonts w:hint="eastAsia" w:ascii="宋体" w:hAnsi="宋体" w:cs="宋体"/>
          <w:kern w:val="0"/>
          <w:sz w:val="28"/>
        </w:rPr>
        <w:t>：</w:t>
      </w:r>
      <w:r>
        <w:rPr>
          <w:rFonts w:ascii="宋体" w:hAnsi="宋体" w:cs="宋体"/>
          <w:kern w:val="0"/>
          <w:sz w:val="28"/>
        </w:rPr>
        <w:t>宜昌</w:t>
      </w:r>
      <w:r>
        <w:rPr>
          <w:rFonts w:ascii="宋体" w:hAnsi="宋体" w:cs="宋体"/>
          <w:kern w:val="0"/>
          <w:sz w:val="28"/>
          <w:szCs w:val="28"/>
        </w:rPr>
        <w:t>市中心</w:t>
      </w:r>
      <w:r>
        <w:rPr>
          <w:rFonts w:ascii="宋体" w:hAnsi="宋体" w:cs="宋体"/>
          <w:kern w:val="0"/>
          <w:sz w:val="28"/>
        </w:rPr>
        <w:t>人民医院</w:t>
      </w:r>
      <w:r>
        <w:rPr>
          <w:rFonts w:hint="eastAsia" w:ascii="宋体" w:hAnsi="宋体" w:cs="宋体"/>
          <w:kern w:val="0"/>
          <w:sz w:val="28"/>
        </w:rPr>
        <w:t>2024年体检流程管理系统运维服务项目</w:t>
      </w:r>
    </w:p>
    <w:p>
      <w:pPr>
        <w:widowControl/>
        <w:spacing w:line="500" w:lineRule="exact"/>
        <w:ind w:firstLine="560" w:firstLineChars="200"/>
        <w:jc w:val="left"/>
        <w:rPr>
          <w:rFonts w:ascii="宋体" w:hAnsi="宋体" w:cs="宋体"/>
          <w:kern w:val="0"/>
          <w:sz w:val="28"/>
        </w:rPr>
      </w:pPr>
      <w:r>
        <w:rPr>
          <w:rFonts w:ascii="宋体" w:hAnsi="宋体" w:cs="宋体"/>
          <w:kern w:val="0"/>
          <w:sz w:val="28"/>
        </w:rPr>
        <w:t>3</w:t>
      </w:r>
      <w:r>
        <w:rPr>
          <w:rFonts w:hint="eastAsia" w:ascii="宋体" w:hAnsi="宋体" w:cs="宋体"/>
          <w:kern w:val="0"/>
          <w:sz w:val="28"/>
        </w:rPr>
        <w:t>、采购要求和联系方式：详见附件</w:t>
      </w:r>
    </w:p>
    <w:p>
      <w:pPr>
        <w:widowControl/>
        <w:spacing w:line="500" w:lineRule="exact"/>
        <w:ind w:firstLine="560" w:firstLineChars="200"/>
        <w:jc w:val="left"/>
        <w:rPr>
          <w:rFonts w:ascii="宋体" w:hAnsi="宋体" w:cs="宋体"/>
          <w:kern w:val="0"/>
          <w:sz w:val="28"/>
        </w:rPr>
      </w:pPr>
      <w:r>
        <w:rPr>
          <w:rFonts w:ascii="宋体" w:hAnsi="宋体" w:cs="宋体"/>
          <w:kern w:val="0"/>
          <w:sz w:val="28"/>
        </w:rPr>
        <w:t>4</w:t>
      </w:r>
      <w:r>
        <w:rPr>
          <w:rFonts w:hint="eastAsia" w:ascii="宋体" w:hAnsi="宋体" w:cs="宋体"/>
          <w:kern w:val="0"/>
          <w:sz w:val="28"/>
        </w:rPr>
        <w:t>、单一来源方式采购理由：</w:t>
      </w:r>
    </w:p>
    <w:p>
      <w:pPr>
        <w:widowControl/>
        <w:spacing w:line="500" w:lineRule="exact"/>
        <w:ind w:firstLine="560" w:firstLineChars="200"/>
        <w:jc w:val="left"/>
        <w:rPr>
          <w:rFonts w:ascii="宋体" w:hAnsi="宋体" w:cs="宋体"/>
          <w:kern w:val="0"/>
          <w:sz w:val="28"/>
        </w:rPr>
      </w:pPr>
      <w:bookmarkStart w:id="0" w:name="_Hlk162361086"/>
      <w:r>
        <w:rPr>
          <w:rFonts w:hint="eastAsia" w:ascii="宋体" w:hAnsi="宋体" w:cs="宋体"/>
          <w:kern w:val="0"/>
          <w:sz w:val="28"/>
        </w:rPr>
        <w:t xml:space="preserve">我院现使用的体检流程管理系统是由上海勤方信息技术有限公司研发，2022年3月14日，采购两年维护服务。目前，免费维护期即将到期，为保证医院体检流程管理系统的正常运行，需购买体检流程管理系统维护服务。 </w:t>
      </w:r>
    </w:p>
    <w:p>
      <w:pPr>
        <w:widowControl/>
        <w:spacing w:line="500" w:lineRule="exact"/>
        <w:ind w:firstLine="560" w:firstLineChars="200"/>
        <w:jc w:val="left"/>
        <w:rPr>
          <w:rFonts w:ascii="宋体" w:hAnsi="宋体" w:cs="宋体"/>
          <w:kern w:val="0"/>
          <w:sz w:val="28"/>
        </w:rPr>
      </w:pPr>
      <w:r>
        <w:rPr>
          <w:rFonts w:hint="eastAsia" w:ascii="宋体" w:hAnsi="宋体" w:cs="宋体"/>
          <w:kern w:val="0"/>
          <w:sz w:val="28"/>
        </w:rPr>
        <w:t>体检流程管理系统运行三年以来，系统运行三年多以来，很好地解决体检现场排队混乱问题，同时也减轻了体检部工作人员的工作量，减少了体检患者的排队时长。由于新的体检和导诊系统部署完成、调试在2024年9月份左右完成，现系统免费服务已到期，为确保医院体检部各项工作正常开展，需购买该系统半年维护服务。</w:t>
      </w:r>
    </w:p>
    <w:bookmarkEnd w:id="0"/>
    <w:p>
      <w:pPr>
        <w:widowControl/>
        <w:spacing w:line="500" w:lineRule="exact"/>
        <w:ind w:firstLine="560" w:firstLineChars="200"/>
        <w:jc w:val="left"/>
        <w:rPr>
          <w:rFonts w:ascii="宋体" w:hAnsi="宋体" w:cs="宋体"/>
          <w:kern w:val="0"/>
          <w:sz w:val="28"/>
        </w:rPr>
      </w:pPr>
      <w:r>
        <w:rPr>
          <w:rFonts w:hint="eastAsia" w:ascii="宋体" w:hAnsi="宋体" w:cs="宋体"/>
          <w:kern w:val="0"/>
          <w:sz w:val="28"/>
        </w:rPr>
        <w:t>该信息系统维护采购项目属于对原系统进行维护，需具备到源码开发和软件著作权等，具有技术的特定性和专一性，非原供应商不能进行。如果另选软件供应商实施该系统的升级延续服务，势必会增加系统定制开发改造成本，降低服务质量，造成经济损失。选择原有公司能有效提高系统软件维护服务质量，可确保系统软件功能的连续性，保证信息安全,更好的服务于用户。</w:t>
      </w:r>
    </w:p>
    <w:p>
      <w:pPr>
        <w:widowControl/>
        <w:spacing w:line="500" w:lineRule="exact"/>
        <w:ind w:firstLine="560" w:firstLineChars="200"/>
        <w:jc w:val="left"/>
        <w:rPr>
          <w:rFonts w:ascii="宋体" w:hAnsi="宋体" w:cs="宋体"/>
          <w:kern w:val="0"/>
          <w:sz w:val="28"/>
        </w:rPr>
      </w:pPr>
      <w:r>
        <w:rPr>
          <w:rFonts w:hint="eastAsia" w:ascii="宋体" w:hAnsi="宋体" w:cs="宋体"/>
          <w:kern w:val="0"/>
          <w:sz w:val="28"/>
        </w:rPr>
        <w:t>基于以上原因，</w:t>
      </w:r>
      <w:r>
        <w:rPr>
          <w:rFonts w:hint="eastAsia" w:ascii="宋体" w:hAnsi="宋体" w:cs="宋体"/>
          <w:kern w:val="0"/>
          <w:sz w:val="28"/>
          <w:szCs w:val="28"/>
        </w:rPr>
        <w:t>需要</w:t>
      </w:r>
      <w:r>
        <w:rPr>
          <w:rFonts w:hint="eastAsia" w:ascii="宋体" w:hAnsi="宋体" w:cs="宋体"/>
          <w:kern w:val="0"/>
          <w:sz w:val="28"/>
        </w:rPr>
        <w:t>采用单一</w:t>
      </w:r>
      <w:r>
        <w:rPr>
          <w:rFonts w:hint="eastAsia" w:ascii="宋体" w:hAnsi="宋体" w:cs="宋体"/>
          <w:kern w:val="0"/>
          <w:sz w:val="28"/>
          <w:szCs w:val="28"/>
        </w:rPr>
        <w:t>来源</w:t>
      </w:r>
      <w:r>
        <w:rPr>
          <w:rFonts w:hint="eastAsia" w:ascii="宋体" w:hAnsi="宋体" w:cs="宋体"/>
          <w:kern w:val="0"/>
          <w:sz w:val="28"/>
        </w:rPr>
        <w:t>方式采购。</w:t>
      </w:r>
    </w:p>
    <w:p>
      <w:pPr>
        <w:spacing w:line="340" w:lineRule="exact"/>
        <w:ind w:firstLine="560" w:firstLineChars="200"/>
        <w:rPr>
          <w:rFonts w:ascii="宋体" w:hAnsi="宋体" w:cs="宋体"/>
          <w:kern w:val="0"/>
          <w:sz w:val="28"/>
        </w:rPr>
      </w:pPr>
      <w:r>
        <w:rPr>
          <w:rFonts w:hint="eastAsia" w:ascii="宋体" w:hAnsi="宋体" w:cs="宋体"/>
          <w:kern w:val="0"/>
          <w:sz w:val="28"/>
        </w:rPr>
        <w:t>为体现“公开、公平、公正”的原则，现对以上情况进行公示。</w:t>
      </w:r>
    </w:p>
    <w:p>
      <w:pPr>
        <w:widowControl/>
        <w:spacing w:line="500" w:lineRule="exact"/>
        <w:ind w:firstLine="560" w:firstLineChars="200"/>
        <w:jc w:val="left"/>
        <w:rPr>
          <w:rFonts w:ascii="宋体" w:hAnsi="宋体" w:cs="宋体"/>
          <w:kern w:val="0"/>
          <w:sz w:val="28"/>
        </w:rPr>
      </w:pPr>
      <w:r>
        <w:rPr>
          <w:rFonts w:hint="eastAsia" w:ascii="宋体" w:hAnsi="宋体" w:cs="宋体"/>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pPr>
        <w:widowControl/>
        <w:spacing w:line="500" w:lineRule="exact"/>
        <w:ind w:firstLine="560" w:firstLineChars="200"/>
        <w:jc w:val="left"/>
        <w:rPr>
          <w:rFonts w:ascii="宋体" w:hAnsi="宋体" w:cs="宋体"/>
          <w:kern w:val="0"/>
          <w:sz w:val="28"/>
        </w:rPr>
      </w:pPr>
      <w:r>
        <w:rPr>
          <w:rFonts w:hint="eastAsia" w:ascii="宋体" w:hAnsi="宋体" w:cs="宋体"/>
          <w:kern w:val="0"/>
          <w:sz w:val="28"/>
        </w:rPr>
        <w:t>公示时间自挂网之日起五个</w:t>
      </w:r>
      <w:r>
        <w:rPr>
          <w:rFonts w:ascii="宋体" w:hAnsi="宋体" w:cs="宋体"/>
          <w:kern w:val="0"/>
          <w:sz w:val="28"/>
        </w:rPr>
        <w:t>工作日</w:t>
      </w:r>
      <w:r>
        <w:rPr>
          <w:rFonts w:hint="eastAsia" w:ascii="宋体" w:hAnsi="宋体" w:cs="宋体"/>
          <w:kern w:val="0"/>
          <w:sz w:val="28"/>
        </w:rPr>
        <w:t>，逾期将不再受理。</w:t>
      </w:r>
    </w:p>
    <w:p>
      <w:pPr>
        <w:jc w:val="center"/>
        <w:rPr>
          <w:rFonts w:ascii="黑体" w:eastAsia="黑体" w:cs="黑体"/>
          <w:sz w:val="44"/>
          <w:szCs w:val="44"/>
        </w:rPr>
        <w:sectPr>
          <w:pgSz w:w="11906" w:h="16838"/>
          <w:pgMar w:top="1440" w:right="1800" w:bottom="1440" w:left="1800" w:header="851" w:footer="992" w:gutter="0"/>
          <w:cols w:space="720" w:num="1"/>
          <w:docGrid w:type="lines" w:linePitch="312" w:charSpace="0"/>
        </w:sectPr>
      </w:pP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单一来源采购文件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w:t>
      </w:r>
      <w:r>
        <w:rPr>
          <w:rFonts w:hint="eastAsia" w:ascii="宋体" w:hAnsi="宋体" w:cs="宋体"/>
          <w:kern w:val="0"/>
          <w:sz w:val="28"/>
          <w:szCs w:val="28"/>
        </w:rPr>
        <w:t>YCZXYYZB-2024-A3016</w:t>
      </w:r>
    </w:p>
    <w:p>
      <w:pPr>
        <w:ind w:firstLine="560" w:firstLineChars="200"/>
        <w:rPr>
          <w:rFonts w:ascii="宋体" w:cs="Times New Roman"/>
          <w:sz w:val="28"/>
          <w:szCs w:val="28"/>
        </w:rPr>
      </w:pPr>
      <w:r>
        <w:rPr>
          <w:rFonts w:ascii="宋体" w:hAnsi="宋体" w:cs="宋体"/>
          <w:sz w:val="28"/>
          <w:szCs w:val="28"/>
        </w:rPr>
        <w:t>2</w:t>
      </w:r>
      <w:r>
        <w:rPr>
          <w:rFonts w:hint="eastAsia" w:ascii="宋体" w:hAnsi="宋体" w:cs="宋体"/>
          <w:sz w:val="28"/>
          <w:szCs w:val="28"/>
        </w:rPr>
        <w:t>、项目名称：宜昌市中心人民医院2024年体检流程管理系统运维服务项目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color w:val="FF0000"/>
          <w:kern w:val="0"/>
          <w:sz w:val="28"/>
          <w:szCs w:val="28"/>
        </w:rPr>
        <w:t>1</w:t>
      </w:r>
      <w:r>
        <w:rPr>
          <w:rFonts w:ascii="宋体" w:hAnsi="宋体" w:cs="宋体"/>
          <w:color w:val="FF0000"/>
          <w:kern w:val="0"/>
          <w:sz w:val="28"/>
          <w:szCs w:val="28"/>
        </w:rPr>
        <w:t>.6</w:t>
      </w:r>
      <w:r>
        <w:rPr>
          <w:rFonts w:hint="eastAsia" w:ascii="宋体" w:hAnsi="宋体" w:cs="宋体"/>
          <w:color w:val="FF0000"/>
          <w:kern w:val="0"/>
          <w:sz w:val="28"/>
          <w:szCs w:val="28"/>
        </w:rPr>
        <w:t>5万</w:t>
      </w:r>
      <w:r>
        <w:rPr>
          <w:rFonts w:hint="eastAsia" w:ascii="宋体" w:hAnsi="宋体" w:cs="宋体"/>
          <w:kern w:val="0"/>
          <w:sz w:val="28"/>
          <w:szCs w:val="28"/>
        </w:rPr>
        <w:t>元，超过此价格为无效投标。投标人报价为合同包干价，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bookmarkStart w:id="1" w:name="_Toc510521050"/>
      <w:r>
        <w:rPr>
          <w:rFonts w:hint="eastAsia" w:ascii="宋体" w:hAnsi="宋体" w:cs="宋体"/>
          <w:b/>
          <w:bCs/>
          <w:kern w:val="0"/>
          <w:sz w:val="28"/>
          <w:szCs w:val="28"/>
        </w:rPr>
        <w:t>三、采购需求</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 xml:space="preserve">我院现使用的体检流程管理系统是由上海勤方信息技术有限公司研发，2022年3月14日，采购两年维护服务。目前，免费维护期即将到期，为保证医院体检流程管理系统的正常运行，需购买体检流程管理系统维护服务。 </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体检流程管理系统运行三年以来，系统运行三年多以来，很好地解决体检现场排队混乱问题，同时也减轻了体检部工作人员的工作量，减少了体检患者的排队时长。由于新的体检和导诊系统部署完成、调试在2024年9月份左右完成，现系统免费服务已到期，为确保医院体检部各项工作正常开展，需购买该系统半年维护服务。</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pPr>
        <w:autoSpaceDE w:val="0"/>
        <w:autoSpaceDN w:val="0"/>
        <w:adjustRightInd w:val="0"/>
        <w:contextualSpacing/>
        <w:outlineLvl w:val="0"/>
        <w:rPr>
          <w:rFonts w:ascii="宋体" w:hAnsi="宋体"/>
          <w:b/>
          <w:sz w:val="28"/>
          <w:szCs w:val="28"/>
        </w:rPr>
      </w:pPr>
      <w:r>
        <w:rPr>
          <w:rFonts w:hint="eastAsia" w:ascii="宋体" w:hAnsi="宋体"/>
          <w:b/>
          <w:sz w:val="28"/>
          <w:szCs w:val="28"/>
        </w:rPr>
        <w:t>（一）货物、服务需求一览表</w:t>
      </w:r>
    </w:p>
    <w:tbl>
      <w:tblPr>
        <w:tblStyle w:val="11"/>
        <w:tblW w:w="9134" w:type="dxa"/>
        <w:tblInd w:w="-34" w:type="dxa"/>
        <w:tblLayout w:type="autofit"/>
        <w:tblCellMar>
          <w:top w:w="0" w:type="dxa"/>
          <w:left w:w="108" w:type="dxa"/>
          <w:bottom w:w="0" w:type="dxa"/>
          <w:right w:w="108" w:type="dxa"/>
        </w:tblCellMar>
      </w:tblPr>
      <w:tblGrid>
        <w:gridCol w:w="1194"/>
        <w:gridCol w:w="3041"/>
        <w:gridCol w:w="1659"/>
        <w:gridCol w:w="1330"/>
        <w:gridCol w:w="1910"/>
      </w:tblGrid>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序号</w:t>
            </w:r>
          </w:p>
        </w:tc>
        <w:tc>
          <w:tcPr>
            <w:tcW w:w="3041"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货物/服务名称</w:t>
            </w:r>
          </w:p>
        </w:tc>
        <w:tc>
          <w:tcPr>
            <w:tcW w:w="1659"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单位</w:t>
            </w:r>
          </w:p>
        </w:tc>
        <w:tc>
          <w:tcPr>
            <w:tcW w:w="1330"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数量</w:t>
            </w:r>
          </w:p>
        </w:tc>
        <w:tc>
          <w:tcPr>
            <w:tcW w:w="1910"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备注</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1</w:t>
            </w:r>
          </w:p>
        </w:tc>
        <w:tc>
          <w:tcPr>
            <w:tcW w:w="3041"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体检流程管理系统维护服务</w:t>
            </w:r>
          </w:p>
        </w:tc>
        <w:tc>
          <w:tcPr>
            <w:tcW w:w="1659"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年</w:t>
            </w:r>
          </w:p>
        </w:tc>
        <w:tc>
          <w:tcPr>
            <w:tcW w:w="1330"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0.5</w:t>
            </w:r>
          </w:p>
        </w:tc>
        <w:tc>
          <w:tcPr>
            <w:tcW w:w="1910"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采购半年运维服务　</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2</w:t>
            </w:r>
          </w:p>
        </w:tc>
        <w:tc>
          <w:tcPr>
            <w:tcW w:w="3041"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p>
        </w:tc>
        <w:tc>
          <w:tcPr>
            <w:tcW w:w="1659"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p>
        </w:tc>
        <w:tc>
          <w:tcPr>
            <w:tcW w:w="1330"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p>
        </w:tc>
        <w:tc>
          <w:tcPr>
            <w:tcW w:w="1910"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　</w:t>
            </w:r>
          </w:p>
        </w:tc>
      </w:tr>
    </w:tbl>
    <w:p>
      <w:pPr>
        <w:autoSpaceDE w:val="0"/>
        <w:autoSpaceDN w:val="0"/>
        <w:adjustRightInd w:val="0"/>
        <w:contextualSpacing/>
        <w:outlineLvl w:val="0"/>
        <w:rPr>
          <w:rFonts w:ascii="宋体" w:hAnsi="宋体"/>
          <w:b/>
          <w:sz w:val="28"/>
          <w:szCs w:val="28"/>
        </w:rPr>
      </w:pPr>
      <w:r>
        <w:rPr>
          <w:rFonts w:hint="eastAsia" w:ascii="宋体" w:hAnsi="宋体"/>
          <w:b/>
          <w:sz w:val="28"/>
          <w:szCs w:val="28"/>
        </w:rPr>
        <w:t>（二）详细技术要求</w:t>
      </w:r>
    </w:p>
    <w:tbl>
      <w:tblPr>
        <w:tblStyle w:val="11"/>
        <w:tblW w:w="9134" w:type="dxa"/>
        <w:tblInd w:w="-34" w:type="dxa"/>
        <w:tblLayout w:type="autofit"/>
        <w:tblCellMar>
          <w:top w:w="0" w:type="dxa"/>
          <w:left w:w="108" w:type="dxa"/>
          <w:bottom w:w="0" w:type="dxa"/>
          <w:right w:w="108" w:type="dxa"/>
        </w:tblCellMar>
      </w:tblPr>
      <w:tblGrid>
        <w:gridCol w:w="1194"/>
        <w:gridCol w:w="2067"/>
        <w:gridCol w:w="3963"/>
        <w:gridCol w:w="1910"/>
      </w:tblGrid>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序号</w:t>
            </w:r>
          </w:p>
        </w:tc>
        <w:tc>
          <w:tcPr>
            <w:tcW w:w="2067"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货物/服务名称</w:t>
            </w:r>
          </w:p>
        </w:tc>
        <w:tc>
          <w:tcPr>
            <w:tcW w:w="3963"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技术规格参数、服务要求</w:t>
            </w:r>
          </w:p>
        </w:tc>
        <w:tc>
          <w:tcPr>
            <w:tcW w:w="1910"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备注</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1</w:t>
            </w:r>
          </w:p>
        </w:tc>
        <w:tc>
          <w:tcPr>
            <w:tcW w:w="2067"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故障维护</w:t>
            </w:r>
            <w:r>
              <w:rPr>
                <w:rFonts w:hAnsi="宋体"/>
                <w:spacing w:val="2"/>
                <w:sz w:val="28"/>
                <w:szCs w:val="28"/>
              </w:rPr>
              <w:t xml:space="preserve"> </w:t>
            </w:r>
          </w:p>
        </w:tc>
        <w:tc>
          <w:tcPr>
            <w:tcW w:w="3963"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left"/>
              <w:rPr>
                <w:rFonts w:hAnsi="宋体"/>
                <w:spacing w:val="2"/>
                <w:sz w:val="28"/>
                <w:szCs w:val="28"/>
              </w:rPr>
            </w:pPr>
            <w:r>
              <w:rPr>
                <w:rFonts w:hint="eastAsia" w:hAnsi="宋体"/>
                <w:spacing w:val="2"/>
                <w:sz w:val="28"/>
                <w:szCs w:val="28"/>
              </w:rPr>
              <w:t>解决系统运行过程中由于网络、服务器、计算机、操作系统等原因所产生的软件无法正常运行，负责维护，以维持系统的正常运行，并在完成故障处理后出具产品维护报告，包含问题的原因、解决办法以及建议。</w:t>
            </w:r>
          </w:p>
        </w:tc>
        <w:tc>
          <w:tcPr>
            <w:tcW w:w="1910"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　</w:t>
            </w:r>
          </w:p>
        </w:tc>
      </w:tr>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2</w:t>
            </w:r>
          </w:p>
        </w:tc>
        <w:tc>
          <w:tcPr>
            <w:tcW w:w="2067"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软件正确性维护</w:t>
            </w:r>
          </w:p>
        </w:tc>
        <w:tc>
          <w:tcPr>
            <w:tcW w:w="3963"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left"/>
              <w:rPr>
                <w:rFonts w:hAnsi="宋体"/>
                <w:spacing w:val="2"/>
                <w:sz w:val="28"/>
                <w:szCs w:val="28"/>
              </w:rPr>
            </w:pPr>
            <w:r>
              <w:rPr>
                <w:rFonts w:hint="eastAsia" w:hAnsi="宋体"/>
                <w:spacing w:val="2"/>
                <w:sz w:val="28"/>
                <w:szCs w:val="28"/>
              </w:rPr>
              <w:t>软件运行过程中新发现的软件错误，负责维护及时改进，并且提供软件维护说明。</w:t>
            </w:r>
          </w:p>
        </w:tc>
        <w:tc>
          <w:tcPr>
            <w:tcW w:w="1910"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　</w:t>
            </w:r>
          </w:p>
        </w:tc>
      </w:tr>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3</w:t>
            </w:r>
          </w:p>
        </w:tc>
        <w:tc>
          <w:tcPr>
            <w:tcW w:w="2067"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用户培训</w:t>
            </w:r>
          </w:p>
        </w:tc>
        <w:tc>
          <w:tcPr>
            <w:tcW w:w="3963"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left"/>
              <w:rPr>
                <w:rFonts w:hAnsi="宋体"/>
                <w:spacing w:val="2"/>
                <w:sz w:val="28"/>
                <w:szCs w:val="28"/>
              </w:rPr>
            </w:pPr>
            <w:r>
              <w:rPr>
                <w:rFonts w:hint="eastAsia" w:hAnsi="宋体"/>
                <w:spacing w:val="2"/>
                <w:sz w:val="28"/>
                <w:szCs w:val="28"/>
              </w:rPr>
              <w:t>负责系统的培训与指导；软件更改后造成软件操作变化的使用培训，培训对象包括医生、护士和信息科工程师，并提供新功能使用说明。负责系统的骨干人员和网络管理人员的应用及维护培训，使管理人员熟练掌握监护设备联机的基本原理和常见故障排除的技术。</w:t>
            </w:r>
          </w:p>
        </w:tc>
        <w:tc>
          <w:tcPr>
            <w:tcW w:w="1910"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p>
        </w:tc>
      </w:tr>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4</w:t>
            </w:r>
          </w:p>
        </w:tc>
        <w:tc>
          <w:tcPr>
            <w:tcW w:w="2067"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定期巡检</w:t>
            </w:r>
          </w:p>
        </w:tc>
        <w:tc>
          <w:tcPr>
            <w:tcW w:w="3963"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left"/>
              <w:rPr>
                <w:rFonts w:hAnsi="宋体"/>
                <w:spacing w:val="2"/>
                <w:sz w:val="28"/>
                <w:szCs w:val="28"/>
              </w:rPr>
            </w:pPr>
            <w:r>
              <w:rPr>
                <w:rFonts w:hint="eastAsia" w:hAnsi="宋体"/>
                <w:spacing w:val="2"/>
                <w:sz w:val="28"/>
                <w:szCs w:val="28"/>
              </w:rPr>
              <w:t>要求每季度一次的定期现场巡检，对整个系统的运行环境等软硬件进行检查；及时发现系统隐患保障系统稳定运行，并出具系统巡检报告，该报告内容包含巡检结果以及巡检建议。但该检查必须经过采购人许可。</w:t>
            </w:r>
          </w:p>
        </w:tc>
        <w:tc>
          <w:tcPr>
            <w:tcW w:w="1910"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p>
        </w:tc>
      </w:tr>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5</w:t>
            </w:r>
          </w:p>
        </w:tc>
        <w:tc>
          <w:tcPr>
            <w:tcW w:w="2067"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需求的更新</w:t>
            </w:r>
          </w:p>
        </w:tc>
        <w:tc>
          <w:tcPr>
            <w:tcW w:w="3963"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left"/>
              <w:rPr>
                <w:rFonts w:hAnsi="宋体"/>
                <w:spacing w:val="2"/>
                <w:sz w:val="28"/>
                <w:szCs w:val="28"/>
              </w:rPr>
            </w:pPr>
            <w:r>
              <w:rPr>
                <w:rFonts w:hint="eastAsia" w:hAnsi="宋体"/>
                <w:spacing w:val="2"/>
                <w:sz w:val="28"/>
                <w:szCs w:val="28"/>
              </w:rPr>
              <w:t>指国家主管部门统一规定必须具备的表单及在实际工作中产生的需要系统更新的版本内的相关功能，双方友好协商后，及时完善到系统中。超出功能范围的内容，经双方友好协商后，按协商价格收取相应费用。</w:t>
            </w:r>
          </w:p>
        </w:tc>
        <w:tc>
          <w:tcPr>
            <w:tcW w:w="1910"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p>
        </w:tc>
      </w:tr>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6</w:t>
            </w:r>
          </w:p>
        </w:tc>
        <w:tc>
          <w:tcPr>
            <w:tcW w:w="2067"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服务方式</w:t>
            </w:r>
          </w:p>
        </w:tc>
        <w:tc>
          <w:tcPr>
            <w:tcW w:w="3963"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left"/>
              <w:rPr>
                <w:rFonts w:hAnsi="宋体"/>
                <w:spacing w:val="2"/>
                <w:sz w:val="28"/>
                <w:szCs w:val="28"/>
              </w:rPr>
            </w:pPr>
            <w:r>
              <w:rPr>
                <w:rFonts w:hint="eastAsia" w:hAnsi="宋体"/>
                <w:spacing w:val="2"/>
                <w:sz w:val="28"/>
                <w:szCs w:val="28"/>
              </w:rPr>
              <w:t>通过电话、远程、现场等多种方式进行技术支持。在维护期内，如软件系统故障，需在接到通知后30分钟予以响应，共同协商解决方案。若需要工程师前往现场，除约定到达时间外，一般要求在4小时到达医院指定现场，一般要求6小时内排除故障。如因软件接口或需求修改要求工程师现场维护的，应在24小时内予以回应，给出具体解决方案和时间表，并经采购人批准后，遵照方案和时间表严格执行。</w:t>
            </w:r>
          </w:p>
        </w:tc>
        <w:tc>
          <w:tcPr>
            <w:tcW w:w="1910"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p>
        </w:tc>
      </w:tr>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7</w:t>
            </w:r>
          </w:p>
        </w:tc>
        <w:tc>
          <w:tcPr>
            <w:tcW w:w="2067"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总结报告</w:t>
            </w:r>
          </w:p>
        </w:tc>
        <w:tc>
          <w:tcPr>
            <w:tcW w:w="3963"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left"/>
              <w:rPr>
                <w:rFonts w:hAnsi="宋体"/>
                <w:spacing w:val="2"/>
                <w:sz w:val="28"/>
                <w:szCs w:val="28"/>
              </w:rPr>
            </w:pPr>
            <w:r>
              <w:rPr>
                <w:rFonts w:hint="eastAsia" w:hAnsi="宋体"/>
                <w:spacing w:val="2"/>
                <w:sz w:val="28"/>
                <w:szCs w:val="28"/>
              </w:rPr>
              <w:t>服务期满后，需向采购人提交服务总结报告</w:t>
            </w:r>
          </w:p>
        </w:tc>
        <w:tc>
          <w:tcPr>
            <w:tcW w:w="1910"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p>
        </w:tc>
      </w:tr>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8</w:t>
            </w:r>
          </w:p>
        </w:tc>
        <w:tc>
          <w:tcPr>
            <w:tcW w:w="2067"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系统建设建议</w:t>
            </w:r>
          </w:p>
        </w:tc>
        <w:tc>
          <w:tcPr>
            <w:tcW w:w="3963" w:type="dxa"/>
            <w:tcBorders>
              <w:top w:val="single" w:color="auto" w:sz="4" w:space="0"/>
              <w:left w:val="nil"/>
              <w:bottom w:val="single" w:color="auto" w:sz="4" w:space="0"/>
              <w:right w:val="single" w:color="auto" w:sz="4" w:space="0"/>
            </w:tcBorders>
            <w:shd w:val="clear" w:color="000000" w:fill="FFFFFF"/>
            <w:vAlign w:val="center"/>
          </w:tcPr>
          <w:p>
            <w:pPr>
              <w:rPr>
                <w:rFonts w:ascii="宋体" w:hAnsi="宋体" w:cs="Courier New"/>
                <w:spacing w:val="2"/>
                <w:sz w:val="28"/>
                <w:szCs w:val="28"/>
              </w:rPr>
            </w:pPr>
            <w:r>
              <w:rPr>
                <w:rFonts w:hint="eastAsia" w:ascii="宋体" w:hAnsi="宋体" w:cs="Courier New"/>
                <w:spacing w:val="2"/>
                <w:sz w:val="28"/>
                <w:szCs w:val="28"/>
              </w:rPr>
              <w:t>在系统运行过程中，可不定期地向采购人提供针对软件建设的改进方案，以便采购人完善提高。</w:t>
            </w:r>
          </w:p>
          <w:p>
            <w:pPr>
              <w:pStyle w:val="5"/>
              <w:tabs>
                <w:tab w:val="left" w:pos="3300"/>
                <w:tab w:val="left" w:pos="3630"/>
              </w:tabs>
              <w:contextualSpacing/>
              <w:jc w:val="center"/>
              <w:rPr>
                <w:rFonts w:hAnsi="宋体"/>
                <w:spacing w:val="2"/>
                <w:sz w:val="28"/>
                <w:szCs w:val="28"/>
              </w:rPr>
            </w:pPr>
          </w:p>
        </w:tc>
        <w:tc>
          <w:tcPr>
            <w:tcW w:w="1910"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p>
        </w:tc>
      </w:tr>
    </w:tbl>
    <w:p>
      <w:pPr>
        <w:jc w:val="left"/>
        <w:rPr>
          <w:rFonts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p>
      <w:pPr>
        <w:ind w:firstLine="442"/>
        <w:rPr>
          <w:rFonts w:ascii="宋体" w:hAnsi="宋体" w:cs="宋体"/>
          <w:bCs/>
          <w:kern w:val="0"/>
          <w:sz w:val="28"/>
          <w:szCs w:val="28"/>
        </w:rPr>
      </w:pPr>
      <w:r>
        <w:rPr>
          <w:rFonts w:ascii="宋体" w:hAnsi="宋体" w:cs="宋体"/>
          <w:bCs/>
          <w:kern w:val="0"/>
          <w:sz w:val="28"/>
          <w:szCs w:val="28"/>
        </w:rPr>
        <w:t xml:space="preserve">1. </w:t>
      </w:r>
      <w:r>
        <w:rPr>
          <w:rFonts w:hint="eastAsia" w:ascii="宋体" w:hAnsi="宋体" w:cs="宋体"/>
          <w:bCs/>
          <w:kern w:val="0"/>
          <w:sz w:val="28"/>
          <w:szCs w:val="28"/>
        </w:rPr>
        <w:t>付款方式：合同签订后，采购人向供应商支付合同服务费用的50%，维护服务结束后支付合同总额的50%。</w:t>
      </w:r>
    </w:p>
    <w:p>
      <w:pPr>
        <w:ind w:firstLine="442"/>
        <w:rPr>
          <w:rFonts w:ascii="宋体" w:hAnsi="宋体" w:cs="宋体"/>
          <w:bCs/>
          <w:kern w:val="0"/>
          <w:sz w:val="28"/>
          <w:szCs w:val="28"/>
        </w:rPr>
      </w:pPr>
      <w:r>
        <w:rPr>
          <w:rFonts w:hint="eastAsia" w:ascii="宋体" w:hAnsi="宋体" w:cs="宋体"/>
          <w:bCs/>
          <w:kern w:val="0"/>
          <w:sz w:val="28"/>
          <w:szCs w:val="28"/>
        </w:rPr>
        <w:t>2</w:t>
      </w:r>
      <w:r>
        <w:rPr>
          <w:rFonts w:ascii="宋体" w:hAnsi="宋体" w:cs="宋体"/>
          <w:bCs/>
          <w:kern w:val="0"/>
          <w:sz w:val="28"/>
          <w:szCs w:val="28"/>
        </w:rPr>
        <w:t xml:space="preserve">. </w:t>
      </w:r>
      <w:r>
        <w:rPr>
          <w:rFonts w:hint="eastAsia" w:ascii="宋体" w:hAnsi="宋体" w:cs="宋体"/>
          <w:bCs/>
          <w:kern w:val="0"/>
          <w:sz w:val="28"/>
          <w:szCs w:val="28"/>
        </w:rPr>
        <w:t>违约责任：如投标人未按照投标文件内容提供维护服务，投标人应承担违约责任，赔偿采购人因此造成的实际经济损失。</w:t>
      </w:r>
    </w:p>
    <w:p>
      <w:pPr>
        <w:jc w:val="left"/>
        <w:rPr>
          <w:rFonts w:ascii="宋体" w:hAnsi="宋体" w:cs="宋体"/>
          <w:b/>
          <w:color w:val="000000"/>
          <w:kern w:val="0"/>
          <w:sz w:val="28"/>
          <w:szCs w:val="28"/>
        </w:rPr>
      </w:pPr>
      <w:r>
        <w:rPr>
          <w:rFonts w:ascii="宋体" w:hAnsi="宋体" w:cs="宋体"/>
          <w:b/>
          <w:color w:val="000000"/>
          <w:kern w:val="0"/>
          <w:sz w:val="28"/>
          <w:szCs w:val="28"/>
        </w:rPr>
        <w:t>3.4</w:t>
      </w:r>
      <w:r>
        <w:rPr>
          <w:rFonts w:hint="eastAsia" w:ascii="宋体" w:hAnsi="宋体" w:cs="宋体"/>
          <w:b/>
          <w:color w:val="000000"/>
          <w:kern w:val="0"/>
          <w:sz w:val="28"/>
          <w:szCs w:val="28"/>
        </w:rPr>
        <w:t>联系</w:t>
      </w:r>
      <w:r>
        <w:rPr>
          <w:rFonts w:ascii="宋体" w:hAnsi="宋体" w:cs="宋体"/>
          <w:b/>
          <w:color w:val="000000"/>
          <w:kern w:val="0"/>
          <w:sz w:val="28"/>
          <w:szCs w:val="28"/>
        </w:rPr>
        <w:t>方式</w:t>
      </w:r>
    </w:p>
    <w:p>
      <w:pPr>
        <w:ind w:firstLine="560" w:firstLineChars="200"/>
        <w:jc w:val="left"/>
        <w:rPr>
          <w:rFonts w:ascii="宋体" w:hAnsi="宋体" w:cs="宋体"/>
          <w:bCs/>
          <w:kern w:val="0"/>
          <w:sz w:val="28"/>
          <w:szCs w:val="28"/>
        </w:rPr>
      </w:pPr>
      <w:r>
        <w:rPr>
          <w:rFonts w:hint="eastAsia" w:ascii="宋体" w:hAnsi="宋体" w:cs="宋体"/>
          <w:color w:val="000000"/>
          <w:kern w:val="0"/>
          <w:sz w:val="28"/>
          <w:szCs w:val="28"/>
        </w:rPr>
        <w:t>联系人</w:t>
      </w:r>
      <w:r>
        <w:rPr>
          <w:rFonts w:ascii="宋体" w:hAnsi="宋体" w:cs="宋体"/>
          <w:color w:val="000000"/>
          <w:kern w:val="0"/>
          <w:sz w:val="28"/>
          <w:szCs w:val="28"/>
        </w:rPr>
        <w:t>：</w:t>
      </w:r>
      <w:r>
        <w:rPr>
          <w:rFonts w:hint="eastAsia" w:ascii="宋体" w:hAnsi="宋体" w:cs="宋体"/>
          <w:bCs/>
          <w:kern w:val="0"/>
          <w:sz w:val="28"/>
          <w:szCs w:val="28"/>
        </w:rPr>
        <w:t>师</w:t>
      </w:r>
      <w:r>
        <w:rPr>
          <w:rFonts w:ascii="宋体" w:hAnsi="宋体" w:cs="宋体"/>
          <w:bCs/>
          <w:kern w:val="0"/>
          <w:sz w:val="28"/>
          <w:szCs w:val="28"/>
        </w:rPr>
        <w:t>老师</w:t>
      </w:r>
    </w:p>
    <w:p>
      <w:pPr>
        <w:ind w:firstLine="560" w:firstLineChars="200"/>
        <w:jc w:val="left"/>
        <w:rPr>
          <w:rFonts w:ascii="宋体" w:hAnsi="宋体" w:cs="宋体"/>
          <w:bCs/>
          <w:kern w:val="0"/>
          <w:sz w:val="28"/>
          <w:szCs w:val="28"/>
        </w:rPr>
      </w:pPr>
      <w:r>
        <w:rPr>
          <w:rFonts w:hint="eastAsia" w:ascii="宋体" w:hAnsi="宋体" w:cs="宋体"/>
          <w:bCs/>
          <w:kern w:val="0"/>
          <w:sz w:val="28"/>
          <w:szCs w:val="28"/>
        </w:rPr>
        <w:t>联系电话</w:t>
      </w:r>
      <w:r>
        <w:rPr>
          <w:rFonts w:ascii="宋体" w:hAnsi="宋体" w:cs="宋体"/>
          <w:bCs/>
          <w:kern w:val="0"/>
          <w:sz w:val="28"/>
          <w:szCs w:val="28"/>
        </w:rPr>
        <w:t>：0717-6483506 15571717182</w:t>
      </w:r>
    </w:p>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11"/>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具有独立承担民事责任的能力</w:t>
            </w:r>
          </w:p>
        </w:tc>
        <w:tc>
          <w:tcPr>
            <w:tcW w:w="4586" w:type="dxa"/>
            <w:tcBorders>
              <w:left w:val="single" w:color="auto" w:sz="4" w:space="0"/>
            </w:tcBorders>
            <w:vAlign w:val="center"/>
          </w:tcPr>
          <w:p>
            <w:pPr>
              <w:spacing w:line="460" w:lineRule="exact"/>
              <w:rPr>
                <w:rFonts w:ascii="宋体" w:hAnsi="宋体"/>
                <w:sz w:val="24"/>
              </w:rPr>
            </w:pPr>
            <w:r>
              <w:rPr>
                <w:rFonts w:hint="eastAsia" w:ascii="宋体" w:hAnsi="宋体"/>
                <w:sz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主体信用记录</w:t>
            </w:r>
          </w:p>
        </w:tc>
        <w:tc>
          <w:tcPr>
            <w:tcW w:w="4586" w:type="dxa"/>
            <w:tcBorders>
              <w:left w:val="single" w:color="auto" w:sz="4" w:space="0"/>
            </w:tcBorders>
            <w:vAlign w:val="center"/>
          </w:tcPr>
          <w:p>
            <w:pPr>
              <w:spacing w:line="460" w:lineRule="exact"/>
              <w:rPr>
                <w:rFonts w:ascii="宋体" w:hAnsi="宋体"/>
                <w:sz w:val="24"/>
              </w:rPr>
            </w:pPr>
            <w:r>
              <w:rPr>
                <w:rFonts w:hint="eastAsia" w:ascii="宋体" w:hAnsi="宋体"/>
                <w:sz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联合体</w:t>
            </w:r>
          </w:p>
        </w:tc>
        <w:tc>
          <w:tcPr>
            <w:tcW w:w="4586" w:type="dxa"/>
            <w:tcBorders>
              <w:left w:val="single" w:color="auto" w:sz="4" w:space="0"/>
            </w:tcBorders>
            <w:vAlign w:val="center"/>
          </w:tcPr>
          <w:p>
            <w:pPr>
              <w:spacing w:line="460" w:lineRule="exact"/>
              <w:rPr>
                <w:rFonts w:ascii="宋体" w:hAnsi="宋体"/>
                <w:sz w:val="24"/>
              </w:rPr>
            </w:pPr>
            <w:r>
              <w:rPr>
                <w:rFonts w:hint="eastAsia" w:ascii="宋体" w:hAnsi="宋体"/>
                <w:sz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val="en-US" w:eastAsia="zh-CN"/>
        </w:rPr>
        <w:t>及副本一份</w:t>
      </w:r>
      <w:bookmarkStart w:id="9" w:name="_GoBack"/>
      <w:bookmarkEnd w:id="9"/>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1"/>
    <w:p>
      <w:pPr>
        <w:pStyle w:val="2"/>
        <w:jc w:val="center"/>
      </w:pPr>
      <w:bookmarkStart w:id="2" w:name="_Toc456291165"/>
      <w:bookmarkStart w:id="3" w:name="_Toc456291260"/>
      <w:bookmarkStart w:id="4" w:name="_Toc456291537"/>
      <w:bookmarkStart w:id="5" w:name="_Toc456291479"/>
      <w:bookmarkStart w:id="6" w:name="_Toc456291280"/>
      <w:bookmarkStart w:id="7" w:name="_Toc456291354"/>
      <w:bookmarkStart w:id="8" w:name="_Toc462487372"/>
      <w:r>
        <w:rPr>
          <w:rFonts w:hint="eastAsia"/>
        </w:rPr>
        <w:t>投标文件</w:t>
      </w:r>
      <w:bookmarkEnd w:id="2"/>
      <w:bookmarkEnd w:id="3"/>
      <w:bookmarkEnd w:id="4"/>
      <w:bookmarkEnd w:id="5"/>
      <w:bookmarkEnd w:id="6"/>
      <w:bookmarkEnd w:id="7"/>
      <w:bookmarkEnd w:id="8"/>
      <w:r>
        <w:rPr>
          <w:rFonts w:hint="eastAsia"/>
        </w:rPr>
        <w:t>封皮</w:t>
      </w:r>
    </w:p>
    <w:p>
      <w:pPr>
        <w:rPr>
          <w:rFonts w:ascii="宋体" w:hAnsi="宋体"/>
        </w:rPr>
      </w:pPr>
    </w:p>
    <w:p>
      <w:pPr>
        <w:pStyle w:val="27"/>
        <w:jc w:val="center"/>
        <w:rPr>
          <w:rFonts w:ascii="黑体" w:hAnsi="黑体" w:eastAsia="黑体"/>
          <w:b/>
          <w:bCs/>
          <w:sz w:val="44"/>
          <w:szCs w:val="44"/>
        </w:rPr>
      </w:pPr>
    </w:p>
    <w:p>
      <w:pPr>
        <w:pStyle w:val="27"/>
        <w:jc w:val="center"/>
        <w:rPr>
          <w:rFonts w:ascii="黑体" w:hAnsi="黑体" w:eastAsia="黑体"/>
          <w:b/>
          <w:bCs/>
          <w:sz w:val="44"/>
          <w:szCs w:val="44"/>
        </w:rPr>
      </w:pPr>
    </w:p>
    <w:p>
      <w:pPr>
        <w:pStyle w:val="27"/>
        <w:rPr>
          <w:rFonts w:ascii="楷体_GB2312" w:eastAsia="楷体_GB2312"/>
          <w:b/>
          <w:bCs/>
          <w:sz w:val="54"/>
        </w:rPr>
      </w:pPr>
    </w:p>
    <w:p>
      <w:pPr>
        <w:pStyle w:val="27"/>
        <w:jc w:val="center"/>
        <w:rPr>
          <w:rFonts w:ascii="黑体" w:hAnsi="黑体" w:eastAsia="黑体"/>
          <w:b/>
          <w:bCs/>
          <w:sz w:val="88"/>
          <w:szCs w:val="88"/>
        </w:rPr>
      </w:pPr>
      <w:r>
        <w:rPr>
          <w:rFonts w:hint="eastAsia" w:ascii="黑体" w:hAnsi="黑体" w:eastAsia="黑体"/>
          <w:b/>
          <w:bCs/>
          <w:sz w:val="88"/>
          <w:szCs w:val="88"/>
        </w:rPr>
        <w:t>投标文件</w:t>
      </w:r>
    </w:p>
    <w:p>
      <w:pPr>
        <w:pStyle w:val="27"/>
        <w:spacing w:line="500" w:lineRule="exact"/>
        <w:rPr>
          <w:rFonts w:ascii="楷体_GB2312" w:eastAsia="楷体_GB2312"/>
          <w:b/>
          <w:sz w:val="32"/>
          <w:szCs w:val="32"/>
        </w:rPr>
      </w:pPr>
    </w:p>
    <w:p>
      <w:pPr>
        <w:pStyle w:val="27"/>
        <w:spacing w:line="500" w:lineRule="exact"/>
        <w:ind w:firstLine="562" w:firstLineChars="200"/>
        <w:rPr>
          <w:rFonts w:ascii="楷体_GB2312" w:eastAsia="楷体_GB2312"/>
          <w:b/>
          <w:sz w:val="28"/>
        </w:rPr>
      </w:pPr>
    </w:p>
    <w:p>
      <w:pPr>
        <w:pStyle w:val="27"/>
        <w:spacing w:line="500" w:lineRule="exact"/>
        <w:ind w:firstLine="560" w:firstLineChars="200"/>
        <w:rPr>
          <w:rFonts w:ascii="楷体_GB2312" w:eastAsia="楷体_GB2312"/>
          <w:sz w:val="28"/>
        </w:rPr>
      </w:pPr>
    </w:p>
    <w:p>
      <w:pPr>
        <w:pStyle w:val="27"/>
        <w:spacing w:line="500" w:lineRule="exact"/>
        <w:ind w:firstLine="560" w:firstLineChars="200"/>
        <w:rPr>
          <w:rFonts w:ascii="楷体_GB2312" w:eastAsia="楷体_GB2312"/>
          <w:sz w:val="28"/>
        </w:rPr>
      </w:pPr>
    </w:p>
    <w:p>
      <w:pPr>
        <w:pStyle w:val="27"/>
        <w:spacing w:line="500" w:lineRule="exact"/>
        <w:ind w:firstLine="560" w:firstLineChars="200"/>
        <w:rPr>
          <w:rFonts w:ascii="楷体_GB2312" w:eastAsia="楷体_GB2312"/>
          <w:sz w:val="28"/>
        </w:rPr>
      </w:pPr>
    </w:p>
    <w:p>
      <w:pPr>
        <w:pStyle w:val="27"/>
        <w:spacing w:line="500" w:lineRule="exact"/>
        <w:ind w:firstLine="560" w:firstLineChars="200"/>
        <w:rPr>
          <w:rFonts w:ascii="楷体_GB2312" w:eastAsia="楷体_GB2312"/>
          <w:sz w:val="28"/>
        </w:rPr>
      </w:pPr>
    </w:p>
    <w:p>
      <w:pPr>
        <w:pStyle w:val="27"/>
        <w:spacing w:line="500" w:lineRule="exact"/>
        <w:ind w:firstLine="560" w:firstLineChars="200"/>
        <w:rPr>
          <w:rFonts w:ascii="楷体_GB2312" w:eastAsia="楷体_GB2312"/>
          <w:sz w:val="28"/>
        </w:rPr>
      </w:pPr>
    </w:p>
    <w:p>
      <w:pPr>
        <w:pStyle w:val="27"/>
        <w:spacing w:line="500" w:lineRule="exact"/>
        <w:ind w:firstLine="560" w:firstLineChars="200"/>
        <w:rPr>
          <w:rFonts w:ascii="楷体_GB2312" w:eastAsia="楷体_GB2312"/>
          <w:sz w:val="28"/>
        </w:rPr>
      </w:pPr>
    </w:p>
    <w:p>
      <w:pPr>
        <w:pStyle w:val="27"/>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7"/>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7"/>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7"/>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30"/>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30"/>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30"/>
        <w:adjustRightInd w:val="0"/>
        <w:snapToGrid w:val="0"/>
        <w:spacing w:line="500" w:lineRule="exact"/>
        <w:rPr>
          <w:rFonts w:ascii="宋体" w:hAnsi="宋体"/>
          <w:szCs w:val="28"/>
        </w:rPr>
      </w:pPr>
      <w:r>
        <w:rPr>
          <w:rFonts w:hint="eastAsia" w:ascii="宋体" w:hAnsi="宋体"/>
          <w:szCs w:val="28"/>
        </w:rPr>
        <w:t xml:space="preserve"> </w:t>
      </w:r>
    </w:p>
    <w:tbl>
      <w:tblPr>
        <w:tblStyle w:val="11"/>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30"/>
              <w:adjustRightInd w:val="0"/>
              <w:snapToGrid w:val="0"/>
              <w:spacing w:line="500" w:lineRule="exact"/>
              <w:jc w:val="center"/>
              <w:rPr>
                <w:rFonts w:ascii="宋体" w:hAnsi="宋体"/>
                <w:szCs w:val="28"/>
              </w:rPr>
            </w:pPr>
          </w:p>
          <w:p>
            <w:pPr>
              <w:pStyle w:val="30"/>
              <w:adjustRightInd w:val="0"/>
              <w:snapToGrid w:val="0"/>
              <w:spacing w:line="500" w:lineRule="exact"/>
              <w:jc w:val="center"/>
              <w:rPr>
                <w:rFonts w:ascii="宋体" w:hAnsi="宋体"/>
                <w:szCs w:val="28"/>
              </w:rPr>
            </w:pPr>
            <w:r>
              <w:rPr>
                <w:rFonts w:hint="eastAsia" w:ascii="宋体" w:hAnsi="宋体"/>
                <w:szCs w:val="28"/>
              </w:rPr>
              <w:t>法定代表人《居民身份证》扫描件</w:t>
            </w:r>
          </w:p>
        </w:tc>
      </w:tr>
    </w:tbl>
    <w:p>
      <w:pPr>
        <w:pStyle w:val="30"/>
        <w:adjustRightInd w:val="0"/>
        <w:snapToGrid w:val="0"/>
        <w:spacing w:line="500" w:lineRule="exact"/>
        <w:rPr>
          <w:rFonts w:ascii="宋体" w:hAnsi="宋体"/>
          <w:szCs w:val="28"/>
        </w:rPr>
      </w:pPr>
    </w:p>
    <w:p>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9"/>
      </w:pPr>
      <w:r>
        <w:rPr>
          <w:rFonts w:hint="eastAsia"/>
        </w:rPr>
        <w:t xml:space="preserve">单位负责人资格证明文件 </w:t>
      </w:r>
    </w:p>
    <w:p>
      <w:pPr>
        <w:pStyle w:val="30"/>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30"/>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30"/>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30"/>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30"/>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30"/>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30"/>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30"/>
        <w:adjustRightInd w:val="0"/>
        <w:snapToGrid w:val="0"/>
        <w:spacing w:line="500" w:lineRule="exact"/>
        <w:rPr>
          <w:rFonts w:ascii="宋体" w:hAnsi="宋体"/>
          <w:szCs w:val="28"/>
        </w:rPr>
      </w:pPr>
      <w:r>
        <w:rPr>
          <w:rFonts w:hint="eastAsia" w:ascii="宋体" w:hAnsi="宋体"/>
          <w:szCs w:val="28"/>
        </w:rPr>
        <w:t xml:space="preserve"> </w:t>
      </w:r>
    </w:p>
    <w:tbl>
      <w:tblPr>
        <w:tblStyle w:val="11"/>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30"/>
              <w:adjustRightInd w:val="0"/>
              <w:snapToGrid w:val="0"/>
              <w:spacing w:line="500" w:lineRule="exact"/>
              <w:jc w:val="center"/>
              <w:rPr>
                <w:rFonts w:ascii="宋体" w:hAnsi="宋体"/>
                <w:szCs w:val="28"/>
              </w:rPr>
            </w:pPr>
          </w:p>
          <w:p>
            <w:pPr>
              <w:pStyle w:val="30"/>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30"/>
              <w:adjustRightInd w:val="0"/>
              <w:snapToGrid w:val="0"/>
              <w:spacing w:line="500" w:lineRule="exact"/>
              <w:jc w:val="center"/>
              <w:rPr>
                <w:rFonts w:ascii="宋体" w:hAnsi="宋体"/>
                <w:szCs w:val="28"/>
              </w:rPr>
            </w:pPr>
          </w:p>
        </w:tc>
      </w:tr>
    </w:tbl>
    <w:p>
      <w:pPr>
        <w:pStyle w:val="30"/>
        <w:adjustRightInd w:val="0"/>
        <w:snapToGrid w:val="0"/>
        <w:spacing w:line="500" w:lineRule="exact"/>
        <w:rPr>
          <w:rFonts w:ascii="宋体" w:hAnsi="宋体"/>
          <w:szCs w:val="28"/>
        </w:rPr>
      </w:pPr>
    </w:p>
    <w:p>
      <w:pPr>
        <w:pStyle w:val="30"/>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30"/>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9"/>
      </w:pPr>
      <w:r>
        <w:rPr>
          <w:rFonts w:hint="eastAsia"/>
        </w:rPr>
        <w:t xml:space="preserve">自然人资格证明文件 </w:t>
      </w:r>
    </w:p>
    <w:p>
      <w:pPr>
        <w:pStyle w:val="30"/>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30"/>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30"/>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30"/>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30"/>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30"/>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30"/>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30"/>
        <w:adjustRightInd w:val="0"/>
        <w:snapToGrid w:val="0"/>
        <w:spacing w:line="500" w:lineRule="exact"/>
        <w:rPr>
          <w:rFonts w:ascii="宋体" w:hAnsi="宋体"/>
          <w:szCs w:val="28"/>
        </w:rPr>
      </w:pPr>
      <w:r>
        <w:rPr>
          <w:rFonts w:hint="eastAsia" w:ascii="宋体" w:hAnsi="宋体"/>
          <w:szCs w:val="28"/>
        </w:rPr>
        <w:t xml:space="preserve"> </w:t>
      </w:r>
    </w:p>
    <w:tbl>
      <w:tblPr>
        <w:tblStyle w:val="11"/>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30"/>
              <w:adjustRightInd w:val="0"/>
              <w:snapToGrid w:val="0"/>
              <w:spacing w:line="500" w:lineRule="exact"/>
              <w:jc w:val="center"/>
              <w:rPr>
                <w:rFonts w:ascii="宋体" w:hAnsi="宋体"/>
                <w:szCs w:val="28"/>
              </w:rPr>
            </w:pPr>
          </w:p>
          <w:p>
            <w:pPr>
              <w:pStyle w:val="30"/>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30"/>
              <w:adjustRightInd w:val="0"/>
              <w:snapToGrid w:val="0"/>
              <w:spacing w:line="500" w:lineRule="exact"/>
              <w:jc w:val="center"/>
              <w:rPr>
                <w:rFonts w:ascii="宋体" w:hAnsi="宋体"/>
                <w:szCs w:val="28"/>
              </w:rPr>
            </w:pPr>
          </w:p>
        </w:tc>
      </w:tr>
    </w:tbl>
    <w:p>
      <w:pPr>
        <w:pStyle w:val="30"/>
        <w:adjustRightInd w:val="0"/>
        <w:snapToGrid w:val="0"/>
        <w:spacing w:line="500" w:lineRule="exact"/>
        <w:ind w:left="0" w:firstLine="0"/>
        <w:rPr>
          <w:rFonts w:ascii="宋体" w:hAnsi="宋体"/>
          <w:szCs w:val="28"/>
        </w:rPr>
      </w:pPr>
    </w:p>
    <w:p>
      <w:pPr>
        <w:pStyle w:val="30"/>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30"/>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30"/>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9"/>
        <w:jc w:val="both"/>
        <w:rPr>
          <w:b w:val="0"/>
        </w:rPr>
      </w:pPr>
    </w:p>
    <w:p>
      <w:pPr>
        <w:pStyle w:val="31"/>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9"/>
      </w:pPr>
      <w:r>
        <w:rPr>
          <w:rFonts w:hint="eastAsia"/>
        </w:rPr>
        <w:t>授权委托书</w:t>
      </w:r>
    </w:p>
    <w:p>
      <w:pPr>
        <w:pStyle w:val="3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30"/>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30"/>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30"/>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30"/>
        <w:spacing w:before="0" w:after="0" w:line="240" w:lineRule="auto"/>
        <w:ind w:left="0" w:firstLine="0"/>
        <w:rPr>
          <w:rFonts w:ascii="宋体" w:hAnsi="宋体"/>
          <w:szCs w:val="28"/>
        </w:rPr>
      </w:pPr>
      <w:r>
        <w:rPr>
          <w:rFonts w:hint="eastAsia" w:ascii="宋体" w:hAnsi="宋体"/>
          <w:szCs w:val="28"/>
        </w:rPr>
        <w:t>附：</w:t>
      </w:r>
    </w:p>
    <w:p>
      <w:pPr>
        <w:pStyle w:val="30"/>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30"/>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1"/>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30"/>
              <w:spacing w:line="500" w:lineRule="exact"/>
              <w:rPr>
                <w:rFonts w:ascii="宋体" w:hAnsi="宋体"/>
                <w:szCs w:val="28"/>
              </w:rPr>
            </w:pPr>
            <w:r>
              <w:rPr>
                <w:rFonts w:hint="eastAsia" w:ascii="宋体" w:hAnsi="宋体"/>
                <w:szCs w:val="28"/>
              </w:rPr>
              <w:t>粘贴被授权人身份证（扫描件）</w:t>
            </w:r>
          </w:p>
          <w:p>
            <w:pPr>
              <w:pStyle w:val="30"/>
              <w:spacing w:line="500" w:lineRule="exact"/>
              <w:rPr>
                <w:rFonts w:ascii="宋体" w:hAnsi="宋体"/>
                <w:szCs w:val="28"/>
              </w:rPr>
            </w:pPr>
          </w:p>
        </w:tc>
      </w:tr>
    </w:tbl>
    <w:p>
      <w:pPr>
        <w:pStyle w:val="31"/>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78F4"/>
    <w:rsid w:val="000C307B"/>
    <w:rsid w:val="000C6D45"/>
    <w:rsid w:val="000D336B"/>
    <w:rsid w:val="000E1758"/>
    <w:rsid w:val="000E3314"/>
    <w:rsid w:val="000F095F"/>
    <w:rsid w:val="000F1370"/>
    <w:rsid w:val="000F43CC"/>
    <w:rsid w:val="00103EA3"/>
    <w:rsid w:val="001153D5"/>
    <w:rsid w:val="00116FC5"/>
    <w:rsid w:val="001249D2"/>
    <w:rsid w:val="00125F97"/>
    <w:rsid w:val="00132524"/>
    <w:rsid w:val="0013281D"/>
    <w:rsid w:val="00140244"/>
    <w:rsid w:val="001539FE"/>
    <w:rsid w:val="001546ED"/>
    <w:rsid w:val="00162024"/>
    <w:rsid w:val="001836E3"/>
    <w:rsid w:val="001978F3"/>
    <w:rsid w:val="001A6270"/>
    <w:rsid w:val="001B1AFC"/>
    <w:rsid w:val="001C342D"/>
    <w:rsid w:val="001C511C"/>
    <w:rsid w:val="001C5EE8"/>
    <w:rsid w:val="001D682D"/>
    <w:rsid w:val="001F1AD5"/>
    <w:rsid w:val="001F4223"/>
    <w:rsid w:val="00210978"/>
    <w:rsid w:val="002204AF"/>
    <w:rsid w:val="00224451"/>
    <w:rsid w:val="00225798"/>
    <w:rsid w:val="002659CC"/>
    <w:rsid w:val="00267A5F"/>
    <w:rsid w:val="00274D4A"/>
    <w:rsid w:val="0028067E"/>
    <w:rsid w:val="00282EC8"/>
    <w:rsid w:val="002858FD"/>
    <w:rsid w:val="00287E26"/>
    <w:rsid w:val="00291D9B"/>
    <w:rsid w:val="002920F0"/>
    <w:rsid w:val="00292435"/>
    <w:rsid w:val="002939B6"/>
    <w:rsid w:val="00295BE8"/>
    <w:rsid w:val="002B2D81"/>
    <w:rsid w:val="002B5840"/>
    <w:rsid w:val="002C1294"/>
    <w:rsid w:val="002D44E1"/>
    <w:rsid w:val="002D482B"/>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F0358"/>
    <w:rsid w:val="00401E67"/>
    <w:rsid w:val="00406D11"/>
    <w:rsid w:val="00412907"/>
    <w:rsid w:val="00421514"/>
    <w:rsid w:val="00424AFD"/>
    <w:rsid w:val="004303FC"/>
    <w:rsid w:val="00431633"/>
    <w:rsid w:val="00440AB7"/>
    <w:rsid w:val="00446638"/>
    <w:rsid w:val="00453CDC"/>
    <w:rsid w:val="00465B03"/>
    <w:rsid w:val="00467487"/>
    <w:rsid w:val="00474384"/>
    <w:rsid w:val="00492E11"/>
    <w:rsid w:val="004A4255"/>
    <w:rsid w:val="004B272B"/>
    <w:rsid w:val="004C4E45"/>
    <w:rsid w:val="004D2F37"/>
    <w:rsid w:val="004D43F7"/>
    <w:rsid w:val="004D59EA"/>
    <w:rsid w:val="004E3D98"/>
    <w:rsid w:val="004E620F"/>
    <w:rsid w:val="00503601"/>
    <w:rsid w:val="00521CC1"/>
    <w:rsid w:val="0052240D"/>
    <w:rsid w:val="005455AF"/>
    <w:rsid w:val="0055245D"/>
    <w:rsid w:val="00564A6B"/>
    <w:rsid w:val="0056741D"/>
    <w:rsid w:val="00573DED"/>
    <w:rsid w:val="00586638"/>
    <w:rsid w:val="005A3835"/>
    <w:rsid w:val="005B302D"/>
    <w:rsid w:val="005B7B08"/>
    <w:rsid w:val="005C0FA3"/>
    <w:rsid w:val="005C3067"/>
    <w:rsid w:val="005F1DE4"/>
    <w:rsid w:val="005F4601"/>
    <w:rsid w:val="00601A2A"/>
    <w:rsid w:val="00605EDC"/>
    <w:rsid w:val="00607A7B"/>
    <w:rsid w:val="006212AD"/>
    <w:rsid w:val="00627B7B"/>
    <w:rsid w:val="006300B6"/>
    <w:rsid w:val="00633BFD"/>
    <w:rsid w:val="00644CE6"/>
    <w:rsid w:val="00645B11"/>
    <w:rsid w:val="00661044"/>
    <w:rsid w:val="00661AA1"/>
    <w:rsid w:val="00672A37"/>
    <w:rsid w:val="00673FC6"/>
    <w:rsid w:val="00682114"/>
    <w:rsid w:val="006864CE"/>
    <w:rsid w:val="00687A6E"/>
    <w:rsid w:val="00694DF5"/>
    <w:rsid w:val="006A466A"/>
    <w:rsid w:val="006A642F"/>
    <w:rsid w:val="006B2485"/>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0F38"/>
    <w:rsid w:val="007D49B3"/>
    <w:rsid w:val="007D5761"/>
    <w:rsid w:val="007D6174"/>
    <w:rsid w:val="007E6599"/>
    <w:rsid w:val="007F4273"/>
    <w:rsid w:val="007F5628"/>
    <w:rsid w:val="008015DF"/>
    <w:rsid w:val="008028C3"/>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8D6C20"/>
    <w:rsid w:val="00903484"/>
    <w:rsid w:val="00914444"/>
    <w:rsid w:val="009309C0"/>
    <w:rsid w:val="009379AB"/>
    <w:rsid w:val="00942F40"/>
    <w:rsid w:val="00943BC4"/>
    <w:rsid w:val="00947503"/>
    <w:rsid w:val="0094776F"/>
    <w:rsid w:val="00957A82"/>
    <w:rsid w:val="0096212B"/>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A02C2F"/>
    <w:rsid w:val="00A41C1F"/>
    <w:rsid w:val="00A43B6B"/>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15CDA"/>
    <w:rsid w:val="00B25174"/>
    <w:rsid w:val="00B26B6F"/>
    <w:rsid w:val="00B32179"/>
    <w:rsid w:val="00B34EC3"/>
    <w:rsid w:val="00B351DC"/>
    <w:rsid w:val="00B4611C"/>
    <w:rsid w:val="00B47379"/>
    <w:rsid w:val="00B54BAA"/>
    <w:rsid w:val="00B63DD8"/>
    <w:rsid w:val="00B66FF7"/>
    <w:rsid w:val="00B935A2"/>
    <w:rsid w:val="00B95FB1"/>
    <w:rsid w:val="00BA0A7E"/>
    <w:rsid w:val="00BA1976"/>
    <w:rsid w:val="00BA3621"/>
    <w:rsid w:val="00BA6F69"/>
    <w:rsid w:val="00BD07F4"/>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2A4D"/>
    <w:rsid w:val="00D25C39"/>
    <w:rsid w:val="00D30CE8"/>
    <w:rsid w:val="00D31DB8"/>
    <w:rsid w:val="00D3588F"/>
    <w:rsid w:val="00D4208B"/>
    <w:rsid w:val="00D42FBF"/>
    <w:rsid w:val="00D479E8"/>
    <w:rsid w:val="00D50CAD"/>
    <w:rsid w:val="00D514F9"/>
    <w:rsid w:val="00D62614"/>
    <w:rsid w:val="00D70956"/>
    <w:rsid w:val="00D736B9"/>
    <w:rsid w:val="00D82F79"/>
    <w:rsid w:val="00D908E7"/>
    <w:rsid w:val="00D964D1"/>
    <w:rsid w:val="00D970A6"/>
    <w:rsid w:val="00DA29FD"/>
    <w:rsid w:val="00DA7317"/>
    <w:rsid w:val="00DA748F"/>
    <w:rsid w:val="00DB02F4"/>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F82"/>
    <w:rsid w:val="00E50BF9"/>
    <w:rsid w:val="00E527C2"/>
    <w:rsid w:val="00E648DA"/>
    <w:rsid w:val="00EA608F"/>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43E4B"/>
    <w:rsid w:val="00F515F1"/>
    <w:rsid w:val="00F55C33"/>
    <w:rsid w:val="00F74FCF"/>
    <w:rsid w:val="00F7606A"/>
    <w:rsid w:val="00F77276"/>
    <w:rsid w:val="00F77DEC"/>
    <w:rsid w:val="00F80E50"/>
    <w:rsid w:val="00F879C4"/>
    <w:rsid w:val="00FB6432"/>
    <w:rsid w:val="00FB6AA0"/>
    <w:rsid w:val="00FD33A0"/>
    <w:rsid w:val="00FD747B"/>
    <w:rsid w:val="320855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6"/>
    <w:autoRedefine/>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6"/>
    <w:autoRedefine/>
    <w:qFormat/>
    <w:uiPriority w:val="99"/>
    <w:pPr>
      <w:keepNext/>
      <w:keepLines/>
      <w:spacing w:before="260" w:after="260" w:line="416" w:lineRule="auto"/>
      <w:outlineLvl w:val="1"/>
    </w:pPr>
    <w:rPr>
      <w:rFonts w:ascii="Cambria" w:hAnsi="Cambria" w:cs="Cambria"/>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32"/>
    <w:autoRedefine/>
    <w:semiHidden/>
    <w:unhideWhenUsed/>
    <w:qFormat/>
    <w:uiPriority w:val="99"/>
    <w:pPr>
      <w:jc w:val="left"/>
    </w:pPr>
  </w:style>
  <w:style w:type="paragraph" w:styleId="5">
    <w:name w:val="Plain Text"/>
    <w:basedOn w:val="1"/>
    <w:link w:val="25"/>
    <w:autoRedefine/>
    <w:qFormat/>
    <w:uiPriority w:val="0"/>
    <w:rPr>
      <w:rFonts w:ascii="宋体" w:hAnsi="Courier New" w:cs="Courier New"/>
    </w:rPr>
  </w:style>
  <w:style w:type="paragraph" w:styleId="6">
    <w:name w:val="Balloon Text"/>
    <w:basedOn w:val="1"/>
    <w:link w:val="21"/>
    <w:autoRedefine/>
    <w:semiHidden/>
    <w:qFormat/>
    <w:uiPriority w:val="99"/>
    <w:rPr>
      <w:rFonts w:ascii="Times New Roman" w:hAnsi="Times New Roman" w:cs="Times New Roman"/>
      <w:sz w:val="18"/>
      <w:szCs w:val="18"/>
    </w:rPr>
  </w:style>
  <w:style w:type="paragraph" w:styleId="7">
    <w:name w:val="footer"/>
    <w:basedOn w:val="1"/>
    <w:link w:val="18"/>
    <w:autoRedefine/>
    <w:qFormat/>
    <w:uiPriority w:val="99"/>
    <w:pPr>
      <w:tabs>
        <w:tab w:val="center" w:pos="4153"/>
        <w:tab w:val="right" w:pos="8306"/>
      </w:tabs>
      <w:snapToGrid w:val="0"/>
      <w:jc w:val="left"/>
    </w:pPr>
    <w:rPr>
      <w:sz w:val="18"/>
      <w:szCs w:val="18"/>
    </w:rPr>
  </w:style>
  <w:style w:type="paragraph" w:styleId="8">
    <w:name w:val="header"/>
    <w:basedOn w:val="1"/>
    <w:link w:val="17"/>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0">
    <w:name w:val="annotation subject"/>
    <w:basedOn w:val="4"/>
    <w:next w:val="4"/>
    <w:link w:val="33"/>
    <w:autoRedefine/>
    <w:semiHidden/>
    <w:unhideWhenUsed/>
    <w:qFormat/>
    <w:uiPriority w:val="99"/>
    <w:rPr>
      <w:b/>
      <w:bCs/>
    </w:rPr>
  </w:style>
  <w:style w:type="table" w:styleId="12">
    <w:name w:val="Table Grid"/>
    <w:basedOn w:val="11"/>
    <w:autoRedefine/>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22"/>
    <w:rPr>
      <w:b/>
      <w:bCs/>
    </w:rPr>
  </w:style>
  <w:style w:type="character" w:styleId="15">
    <w:name w:val="annotation reference"/>
    <w:autoRedefine/>
    <w:semiHidden/>
    <w:unhideWhenUsed/>
    <w:qFormat/>
    <w:uiPriority w:val="99"/>
    <w:rPr>
      <w:sz w:val="21"/>
      <w:szCs w:val="21"/>
    </w:rPr>
  </w:style>
  <w:style w:type="character" w:customStyle="1" w:styleId="16">
    <w:name w:val="标题 2 字符"/>
    <w:link w:val="3"/>
    <w:autoRedefine/>
    <w:qFormat/>
    <w:locked/>
    <w:uiPriority w:val="99"/>
    <w:rPr>
      <w:rFonts w:ascii="Cambria" w:hAnsi="Cambria" w:eastAsia="宋体" w:cs="Cambria"/>
      <w:b/>
      <w:bCs/>
      <w:sz w:val="32"/>
      <w:szCs w:val="32"/>
    </w:rPr>
  </w:style>
  <w:style w:type="character" w:customStyle="1" w:styleId="17">
    <w:name w:val="页眉 字符"/>
    <w:link w:val="8"/>
    <w:autoRedefine/>
    <w:qFormat/>
    <w:locked/>
    <w:uiPriority w:val="99"/>
    <w:rPr>
      <w:sz w:val="18"/>
      <w:szCs w:val="18"/>
    </w:rPr>
  </w:style>
  <w:style w:type="character" w:customStyle="1" w:styleId="18">
    <w:name w:val="页脚 字符"/>
    <w:link w:val="7"/>
    <w:autoRedefine/>
    <w:qFormat/>
    <w:locked/>
    <w:uiPriority w:val="99"/>
    <w:rPr>
      <w:sz w:val="18"/>
      <w:szCs w:val="18"/>
    </w:rPr>
  </w:style>
  <w:style w:type="paragraph" w:styleId="19">
    <w:name w:val="List Paragraph"/>
    <w:basedOn w:val="1"/>
    <w:link w:val="20"/>
    <w:autoRedefine/>
    <w:qFormat/>
    <w:uiPriority w:val="99"/>
    <w:pPr>
      <w:ind w:firstLine="420" w:firstLineChars="200"/>
    </w:pPr>
    <w:rPr>
      <w:rFonts w:ascii="Times New Roman" w:hAnsi="Times New Roman" w:cs="Times New Roman"/>
      <w:kern w:val="0"/>
      <w:sz w:val="20"/>
      <w:szCs w:val="20"/>
    </w:rPr>
  </w:style>
  <w:style w:type="character" w:customStyle="1" w:styleId="20">
    <w:name w:val="列表段落 字符"/>
    <w:link w:val="19"/>
    <w:autoRedefine/>
    <w:qFormat/>
    <w:locked/>
    <w:uiPriority w:val="99"/>
    <w:rPr>
      <w:rFonts w:ascii="Times New Roman" w:hAnsi="Times New Roman" w:eastAsia="宋体" w:cs="Times New Roman"/>
      <w:sz w:val="20"/>
      <w:szCs w:val="20"/>
    </w:rPr>
  </w:style>
  <w:style w:type="character" w:customStyle="1" w:styleId="21">
    <w:name w:val="批注框文本 字符"/>
    <w:link w:val="6"/>
    <w:autoRedefine/>
    <w:semiHidden/>
    <w:qFormat/>
    <w:locked/>
    <w:uiPriority w:val="99"/>
    <w:rPr>
      <w:rFonts w:ascii="Times New Roman" w:hAnsi="Times New Roman" w:eastAsia="宋体" w:cs="Times New Roman"/>
      <w:sz w:val="18"/>
      <w:szCs w:val="18"/>
    </w:rPr>
  </w:style>
  <w:style w:type="paragraph" w:customStyle="1" w:styleId="22">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3">
    <w:name w:val="font81"/>
    <w:autoRedefine/>
    <w:qFormat/>
    <w:uiPriority w:val="99"/>
    <w:rPr>
      <w:rFonts w:ascii="微软雅黑" w:hAnsi="微软雅黑" w:eastAsia="微软雅黑" w:cs="微软雅黑"/>
      <w:color w:val="000000"/>
      <w:sz w:val="20"/>
      <w:szCs w:val="20"/>
      <w:u w:val="none"/>
    </w:rPr>
  </w:style>
  <w:style w:type="character" w:customStyle="1" w:styleId="24">
    <w:name w:val="font71"/>
    <w:autoRedefine/>
    <w:qFormat/>
    <w:uiPriority w:val="99"/>
    <w:rPr>
      <w:rFonts w:ascii="宋体" w:hAnsi="宋体" w:eastAsia="宋体" w:cs="宋体"/>
      <w:color w:val="000000"/>
      <w:sz w:val="20"/>
      <w:szCs w:val="20"/>
      <w:u w:val="none"/>
    </w:rPr>
  </w:style>
  <w:style w:type="character" w:customStyle="1" w:styleId="25">
    <w:name w:val="纯文本 字符"/>
    <w:link w:val="5"/>
    <w:autoRedefine/>
    <w:qFormat/>
    <w:uiPriority w:val="0"/>
    <w:rPr>
      <w:rFonts w:ascii="宋体" w:hAnsi="Courier New" w:cs="Courier New"/>
      <w:kern w:val="2"/>
      <w:sz w:val="21"/>
      <w:szCs w:val="21"/>
    </w:rPr>
  </w:style>
  <w:style w:type="character" w:customStyle="1" w:styleId="26">
    <w:name w:val="标题 1 字符"/>
    <w:link w:val="2"/>
    <w:autoRedefine/>
    <w:qFormat/>
    <w:uiPriority w:val="0"/>
    <w:rPr>
      <w:rFonts w:cs="Calibri"/>
      <w:b/>
      <w:bCs/>
      <w:kern w:val="44"/>
      <w:sz w:val="44"/>
      <w:szCs w:val="44"/>
    </w:rPr>
  </w:style>
  <w:style w:type="paragraph" w:customStyle="1" w:styleId="27">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8">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标题 3_0_0"/>
    <w:basedOn w:val="30"/>
    <w:next w:val="30"/>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30">
    <w:name w:val="正文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1">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2">
    <w:name w:val="批注文字 字符"/>
    <w:link w:val="4"/>
    <w:autoRedefine/>
    <w:semiHidden/>
    <w:qFormat/>
    <w:uiPriority w:val="99"/>
    <w:rPr>
      <w:rFonts w:cs="Calibri"/>
      <w:kern w:val="2"/>
      <w:sz w:val="21"/>
      <w:szCs w:val="21"/>
    </w:rPr>
  </w:style>
  <w:style w:type="character" w:customStyle="1" w:styleId="33">
    <w:name w:val="批注主题 字符"/>
    <w:link w:val="10"/>
    <w:autoRedefine/>
    <w:semiHidden/>
    <w:qFormat/>
    <w:uiPriority w:val="99"/>
    <w:rPr>
      <w:rFonts w:cs="Calibri"/>
      <w:b/>
      <w:bCs/>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CCE7B-D104-4E30-84F4-C0EE7129F00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745</Words>
  <Characters>4252</Characters>
  <Lines>35</Lines>
  <Paragraphs>9</Paragraphs>
  <TotalTime>9</TotalTime>
  <ScaleCrop>false</ScaleCrop>
  <LinksUpToDate>false</LinksUpToDate>
  <CharactersWithSpaces>4988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2024-04-19T06:43:27Z</dcterms:modified>
  <dc:title>宜昌市中心人民医院</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BB801F146F48472D9688C1498B9ECE4F_13</vt:lpwstr>
  </property>
</Properties>
</file>