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白蚁防治服务</w:t>
      </w:r>
      <w:r>
        <w:rPr>
          <w:rFonts w:hint="eastAsia"/>
          <w:sz w:val="28"/>
          <w:szCs w:val="28"/>
        </w:rPr>
        <w:t>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2024-2031</w:t>
      </w:r>
    </w:p>
    <w:p>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rPr>
        <w:t>白蚁防治服务项目</w:t>
      </w:r>
      <w:bookmarkEnd w:id="8"/>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本次公告仅在宜昌市中心人民医院官网（https://www.yczxyy.com/）上发布，信息以本网站发布为准。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2024-2031</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、项目名称：宜昌市中心人民医院白蚁防治服务项目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4</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default"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宜昌市中心人民医院各类乔木及建筑物部分受到白蚁大面积侵害。为保证院内大型乔木健康生长、建筑物安全，委托专业公司针对白蚁进行系统全面的防治。</w:t>
      </w:r>
    </w:p>
    <w:p>
      <w:pPr>
        <w:widowControl/>
        <w:spacing w:line="500" w:lineRule="exact"/>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技术服务要求：</w:t>
      </w:r>
    </w:p>
    <w:p>
      <w:pPr>
        <w:widowControl/>
        <w:numPr>
          <w:ilvl w:val="0"/>
          <w:numId w:val="0"/>
        </w:numPr>
        <w:spacing w:line="500" w:lineRule="exact"/>
        <w:ind w:leftChars="0" w:firstLine="560" w:firstLineChars="200"/>
        <w:jc w:val="left"/>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1、服务范围：区域为伍家（含江南院区、家属区）、西陵院区内的园林绿化、建筑物；</w:t>
      </w:r>
    </w:p>
    <w:p>
      <w:pPr>
        <w:widowControl/>
        <w:numPr>
          <w:ilvl w:val="0"/>
          <w:numId w:val="0"/>
        </w:numPr>
        <w:spacing w:line="500" w:lineRule="exact"/>
        <w:ind w:left="0" w:leftChars="0" w:firstLine="560" w:firstLineChars="0"/>
        <w:jc w:val="left"/>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 xml:space="preserve">2、每年预计需要投入专业白蚁防治施工人员4人，现场白蚁治理服务4 次（实际服务次数可能取决于白蚁活动的变化）。 </w:t>
      </w:r>
    </w:p>
    <w:p>
      <w:pPr>
        <w:widowControl/>
        <w:numPr>
          <w:ilvl w:val="0"/>
          <w:numId w:val="0"/>
        </w:numPr>
        <w:spacing w:line="500" w:lineRule="exact"/>
        <w:ind w:left="0" w:leftChars="0" w:firstLine="560" w:firstLineChars="0"/>
        <w:jc w:val="left"/>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3、白蚁危害治理服务人员全部通过白蚁防治基本知识和基本技能的培训。</w:t>
      </w:r>
    </w:p>
    <w:p>
      <w:pPr>
        <w:widowControl/>
        <w:numPr>
          <w:ilvl w:val="0"/>
          <w:numId w:val="0"/>
        </w:numPr>
        <w:spacing w:line="500" w:lineRule="exact"/>
        <w:ind w:left="0" w:leftChars="0" w:firstLine="560" w:firstLineChars="0"/>
        <w:jc w:val="left"/>
        <w:rPr>
          <w:rFonts w:hint="eastAsia"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 xml:space="preserve">4、白蚁防治药物依据国务院发布的《农药管理条例》（2017 版）和《白蚁防治技术规程》，采用高效、环保、持效期长的白蚁防治专用药物。 </w:t>
      </w:r>
    </w:p>
    <w:p>
      <w:pPr>
        <w:widowControl/>
        <w:numPr>
          <w:ilvl w:val="0"/>
          <w:numId w:val="0"/>
        </w:numPr>
        <w:spacing w:line="500" w:lineRule="exact"/>
        <w:ind w:left="0" w:leftChars="0" w:firstLine="560" w:firstLineChars="0"/>
        <w:jc w:val="left"/>
        <w:rPr>
          <w:rFonts w:hint="default"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5、为本项目设专职负责人对接，严格按照采购人要求及相关规范完成白蚁防治项目。对于甲方提出的整改意见，应在2个小时内进行处置或答复，确保服务质量，提供承诺函原件。</w:t>
      </w:r>
    </w:p>
    <w:p>
      <w:pPr>
        <w:widowControl/>
        <w:numPr>
          <w:ilvl w:val="0"/>
          <w:numId w:val="0"/>
        </w:numPr>
        <w:spacing w:line="500" w:lineRule="exact"/>
        <w:ind w:left="0" w:leftChars="0" w:firstLine="560" w:firstLineChars="0"/>
        <w:jc w:val="left"/>
        <w:rPr>
          <w:rFonts w:hint="default" w:ascii="宋体" w:hAnsi="宋体" w:cs="宋体"/>
          <w:b w:val="0"/>
          <w:bCs w:val="0"/>
          <w:kern w:val="0"/>
          <w:sz w:val="28"/>
          <w:szCs w:val="28"/>
          <w:lang w:val="en-US" w:eastAsia="zh-CN"/>
        </w:rPr>
      </w:pPr>
      <w:r>
        <w:rPr>
          <w:rFonts w:hint="eastAsia" w:ascii="宋体" w:hAnsi="宋体" w:cs="宋体"/>
          <w:b w:val="0"/>
          <w:bCs w:val="0"/>
          <w:kern w:val="0"/>
          <w:sz w:val="28"/>
          <w:szCs w:val="28"/>
          <w:lang w:val="en-US" w:eastAsia="zh-CN"/>
        </w:rPr>
        <w:t>6、采购人定期实勘确定白蚁防治效果，如无实质性改善，采购人有权单方面解除合同，解除合同造成的所有损失由成交供应商自行承担。</w:t>
      </w:r>
    </w:p>
    <w:p>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pPr>
        <w:widowControl/>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1、服务期</w:t>
      </w:r>
      <w:r>
        <w:rPr>
          <w:rFonts w:hint="eastAsia" w:ascii="宋体" w:hAnsi="宋体" w:cs="宋体"/>
          <w:kern w:val="0"/>
          <w:sz w:val="28"/>
          <w:szCs w:val="28"/>
        </w:rPr>
        <w:t>：</w:t>
      </w:r>
      <w:r>
        <w:rPr>
          <w:rFonts w:hint="eastAsia" w:ascii="宋体" w:hAnsi="宋体" w:cs="宋体"/>
          <w:kern w:val="0"/>
          <w:sz w:val="28"/>
          <w:szCs w:val="28"/>
          <w:lang w:val="en-US" w:eastAsia="zh-CN"/>
        </w:rPr>
        <w:t>3年；</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付款方式：</w:t>
      </w:r>
      <w:r>
        <w:rPr>
          <w:rFonts w:hint="eastAsia" w:ascii="宋体" w:hAnsi="宋体" w:cs="宋体"/>
          <w:kern w:val="0"/>
          <w:sz w:val="28"/>
          <w:szCs w:val="28"/>
          <w:lang w:val="en-US" w:eastAsia="zh-CN"/>
        </w:rPr>
        <w:t>按年支付服务费用，每年度服务期满，成交供应商提供相应结算资料经采购人审批后30个工作日内支付年度服务费用，采用电汇方式结算，成交供应商提供正规增值税发票</w:t>
      </w:r>
      <w:r>
        <w:rPr>
          <w:rFonts w:hint="eastAsia" w:ascii="宋体" w:hAnsi="宋体" w:cs="宋体"/>
          <w:kern w:val="0"/>
          <w:sz w:val="28"/>
          <w:szCs w:val="28"/>
        </w:rPr>
        <w:t>。</w:t>
      </w:r>
    </w:p>
    <w:p>
      <w:pPr>
        <w:widowControl/>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3、意向供应商必须进行现场踏勘，在充分了解采购人各项要求及树木现状后进行投标报价，不进行现场踏勘的供应商视为无效投标，踏勘联系人：吴老师 0717-6484946。</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highlight w:val="green"/>
              </w:rPr>
            </w:pPr>
            <w:r>
              <w:rPr>
                <w:rFonts w:hint="eastAsia" w:ascii="宋体" w:hAnsi="宋体"/>
              </w:rPr>
              <w:t>资质要求</w:t>
            </w:r>
          </w:p>
        </w:tc>
        <w:tc>
          <w:tcPr>
            <w:tcW w:w="5670" w:type="dxa"/>
            <w:tcBorders>
              <w:left w:val="single" w:color="auto" w:sz="4" w:space="0"/>
            </w:tcBorders>
            <w:vAlign w:val="center"/>
          </w:tcPr>
          <w:p>
            <w:pPr>
              <w:spacing w:line="460" w:lineRule="exact"/>
              <w:jc w:val="left"/>
              <w:rPr>
                <w:rFonts w:ascii="宋体" w:hAnsi="宋体"/>
              </w:rPr>
            </w:pPr>
            <w:r>
              <w:rPr>
                <w:rFonts w:hint="eastAsia" w:ascii="宋体" w:hAnsi="宋体"/>
              </w:rPr>
              <w:t>投标人须具备建设行政主管部门核发的建筑工程施工总承包三级及以上资质证书。（上传资质证书原件彩色扫描件）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Align w:val="center"/>
          </w:tcPr>
          <w:p>
            <w:pPr>
              <w:snapToGrid w:val="0"/>
              <w:spacing w:line="400" w:lineRule="exact"/>
              <w:jc w:val="center"/>
              <w:rPr>
                <w:rFonts w:ascii="宋体" w:hAnsi="宋体" w:cs="宋体"/>
              </w:rPr>
            </w:pPr>
            <w:r>
              <w:rPr>
                <w:rFonts w:hint="eastAsia" w:ascii="宋体" w:hAnsi="宋体" w:cs="宋体"/>
              </w:rPr>
              <w:t>内容</w:t>
            </w:r>
          </w:p>
        </w:tc>
        <w:tc>
          <w:tcPr>
            <w:tcW w:w="1276" w:type="dxa"/>
            <w:vAlign w:val="center"/>
          </w:tcPr>
          <w:p>
            <w:pPr>
              <w:snapToGrid w:val="0"/>
              <w:spacing w:line="400" w:lineRule="exact"/>
              <w:jc w:val="center"/>
              <w:rPr>
                <w:rFonts w:ascii="宋体" w:hAnsi="宋体" w:cs="宋体"/>
              </w:rPr>
            </w:pPr>
            <w:r>
              <w:rPr>
                <w:rFonts w:hint="eastAsia" w:ascii="宋体" w:hAnsi="宋体" w:cs="宋体"/>
              </w:rPr>
              <w:t>评审因素</w:t>
            </w:r>
          </w:p>
        </w:tc>
        <w:tc>
          <w:tcPr>
            <w:tcW w:w="851" w:type="dxa"/>
            <w:vAlign w:val="center"/>
          </w:tcPr>
          <w:p>
            <w:pPr>
              <w:snapToGrid w:val="0"/>
              <w:spacing w:line="400" w:lineRule="exact"/>
              <w:jc w:val="center"/>
              <w:rPr>
                <w:rFonts w:ascii="宋体" w:hAnsi="宋体" w:cs="宋体"/>
              </w:rPr>
            </w:pPr>
            <w:r>
              <w:rPr>
                <w:rFonts w:hint="eastAsia" w:ascii="宋体" w:hAnsi="宋体" w:cs="宋体"/>
              </w:rPr>
              <w:t>分值</w:t>
            </w:r>
          </w:p>
        </w:tc>
        <w:tc>
          <w:tcPr>
            <w:tcW w:w="6923" w:type="dxa"/>
            <w:vAlign w:val="center"/>
          </w:tcPr>
          <w:p>
            <w:pPr>
              <w:snapToGrid w:val="0"/>
              <w:spacing w:line="400" w:lineRule="exact"/>
              <w:jc w:val="center"/>
              <w:rPr>
                <w:rFonts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45" w:type="dxa"/>
            <w:vMerge w:val="restart"/>
            <w:vAlign w:val="center"/>
          </w:tcPr>
          <w:p>
            <w:pPr>
              <w:snapToGrid w:val="0"/>
              <w:spacing w:line="400" w:lineRule="exact"/>
              <w:jc w:val="center"/>
              <w:rPr>
                <w:rFonts w:ascii="宋体" w:hAnsi="宋体" w:cs="宋体"/>
              </w:rPr>
            </w:pPr>
            <w:r>
              <w:rPr>
                <w:rFonts w:hint="eastAsia" w:ascii="宋体" w:hAnsi="宋体" w:cs="宋体"/>
              </w:rPr>
              <w:t>商</w:t>
            </w:r>
          </w:p>
          <w:p>
            <w:pPr>
              <w:snapToGrid w:val="0"/>
              <w:spacing w:line="400" w:lineRule="exact"/>
              <w:jc w:val="center"/>
              <w:rPr>
                <w:rFonts w:ascii="宋体" w:hAnsi="宋体" w:cs="宋体"/>
              </w:rPr>
            </w:pPr>
            <w:r>
              <w:rPr>
                <w:rFonts w:hint="eastAsia" w:ascii="宋体" w:hAnsi="宋体" w:cs="宋体"/>
              </w:rPr>
              <w:t>务</w:t>
            </w:r>
          </w:p>
          <w:p>
            <w:pPr>
              <w:snapToGrid w:val="0"/>
              <w:spacing w:line="400" w:lineRule="exact"/>
              <w:jc w:val="center"/>
              <w:rPr>
                <w:rFonts w:ascii="宋体" w:hAnsi="宋体" w:cs="宋体"/>
              </w:rPr>
            </w:pPr>
            <w:r>
              <w:rPr>
                <w:rFonts w:hint="eastAsia" w:ascii="宋体" w:hAnsi="宋体" w:cs="宋体"/>
              </w:rPr>
              <w:t>评</w:t>
            </w:r>
          </w:p>
          <w:p>
            <w:pPr>
              <w:snapToGrid w:val="0"/>
              <w:spacing w:line="400" w:lineRule="exact"/>
              <w:jc w:val="center"/>
              <w:rPr>
                <w:rFonts w:ascii="宋体" w:hAnsi="宋体" w:cs="宋体"/>
              </w:rPr>
            </w:pPr>
            <w:r>
              <w:rPr>
                <w:rFonts w:hint="eastAsia" w:ascii="宋体" w:hAnsi="宋体" w:cs="宋体"/>
              </w:rPr>
              <w:t>审（2</w:t>
            </w:r>
            <w:r>
              <w:rPr>
                <w:rFonts w:hint="eastAsia" w:ascii="宋体" w:hAnsi="宋体" w:cs="宋体"/>
                <w:lang w:val="en-US" w:eastAsia="zh-CN"/>
              </w:rPr>
              <w:t>6</w:t>
            </w:r>
            <w:r>
              <w:rPr>
                <w:rFonts w:hint="eastAsia" w:ascii="宋体" w:hAnsi="宋体" w:cs="宋体"/>
              </w:rPr>
              <w:t>.00）</w:t>
            </w:r>
          </w:p>
        </w:tc>
        <w:tc>
          <w:tcPr>
            <w:tcW w:w="1276" w:type="dxa"/>
            <w:vAlign w:val="center"/>
          </w:tcPr>
          <w:p>
            <w:pPr>
              <w:snapToGrid w:val="0"/>
              <w:spacing w:line="400" w:lineRule="exact"/>
              <w:jc w:val="center"/>
              <w:rPr>
                <w:rFonts w:ascii="宋体" w:hAnsi="宋体" w:cs="宋体"/>
              </w:rPr>
            </w:pPr>
            <w:r>
              <w:rPr>
                <w:rFonts w:ascii="宋体" w:hAnsi="宋体" w:cs="宋体"/>
              </w:rPr>
              <w:t>类似业绩</w:t>
            </w:r>
          </w:p>
        </w:tc>
        <w:tc>
          <w:tcPr>
            <w:tcW w:w="851" w:type="dxa"/>
            <w:vAlign w:val="center"/>
          </w:tcPr>
          <w:p>
            <w:pPr>
              <w:snapToGrid w:val="0"/>
              <w:spacing w:line="400" w:lineRule="exact"/>
              <w:jc w:val="center"/>
              <w:rPr>
                <w:rFonts w:ascii="宋体" w:hAnsi="宋体" w:cs="宋体"/>
              </w:rPr>
            </w:pPr>
            <w:r>
              <w:rPr>
                <w:rFonts w:hint="eastAsia" w:ascii="宋体" w:hAnsi="宋体" w:cs="宋体"/>
                <w:lang w:val="en-US" w:eastAsia="zh-CN"/>
              </w:rPr>
              <w:t>15</w:t>
            </w:r>
            <w:r>
              <w:rPr>
                <w:rFonts w:hint="eastAsia" w:ascii="宋体" w:hAnsi="宋体" w:cs="宋体"/>
              </w:rPr>
              <w:t>.00</w:t>
            </w:r>
          </w:p>
        </w:tc>
        <w:tc>
          <w:tcPr>
            <w:tcW w:w="6923" w:type="dxa"/>
            <w:vAlign w:val="center"/>
          </w:tcPr>
          <w:p>
            <w:pPr>
              <w:pStyle w:val="9"/>
              <w:rPr>
                <w:rFonts w:hint="default" w:eastAsia="宋体"/>
                <w:sz w:val="21"/>
                <w:szCs w:val="21"/>
                <w:lang w:val="en-US" w:eastAsia="zh-CN"/>
              </w:rPr>
            </w:pPr>
            <w:r>
              <w:rPr>
                <w:rFonts w:hint="eastAsia"/>
                <w:sz w:val="21"/>
                <w:szCs w:val="21"/>
              </w:rPr>
              <w:t>供应商自2021年1月1日以来(以合同签订时间为准)，承担过</w:t>
            </w:r>
            <w:r>
              <w:rPr>
                <w:rFonts w:hint="eastAsia"/>
                <w:sz w:val="21"/>
                <w:szCs w:val="21"/>
                <w:lang w:val="en-US" w:eastAsia="zh-CN"/>
              </w:rPr>
              <w:t>类似白蚁防治服务项目的，每提供一个业绩得3分，最多得15分。提供合同扫描件并加盖公章。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rPr>
            </w:pPr>
          </w:p>
        </w:tc>
        <w:tc>
          <w:tcPr>
            <w:tcW w:w="1276" w:type="dxa"/>
            <w:vAlign w:val="center"/>
          </w:tcPr>
          <w:p>
            <w:pPr>
              <w:pStyle w:val="9"/>
              <w:jc w:val="center"/>
              <w:rPr>
                <w:rFonts w:hint="default" w:eastAsia="宋体"/>
                <w:kern w:val="2"/>
                <w:sz w:val="21"/>
                <w:szCs w:val="21"/>
                <w:lang w:val="en-US" w:eastAsia="zh-CN"/>
              </w:rPr>
            </w:pPr>
            <w:r>
              <w:rPr>
                <w:rFonts w:hint="eastAsia"/>
                <w:kern w:val="2"/>
                <w:sz w:val="21"/>
                <w:szCs w:val="21"/>
                <w:lang w:val="en-US" w:eastAsia="zh-CN"/>
              </w:rPr>
              <w:t>企业实力</w:t>
            </w:r>
          </w:p>
        </w:tc>
        <w:tc>
          <w:tcPr>
            <w:tcW w:w="851" w:type="dxa"/>
            <w:vAlign w:val="center"/>
          </w:tcPr>
          <w:p>
            <w:pPr>
              <w:snapToGrid w:val="0"/>
              <w:spacing w:line="400" w:lineRule="exact"/>
              <w:jc w:val="center"/>
              <w:rPr>
                <w:rFonts w:ascii="宋体" w:hAnsi="宋体" w:cs="宋体"/>
              </w:rPr>
            </w:pPr>
            <w:r>
              <w:rPr>
                <w:rFonts w:hint="eastAsia" w:ascii="宋体" w:hAnsi="宋体" w:cs="宋体"/>
                <w:lang w:val="en-US" w:eastAsia="zh-CN"/>
              </w:rPr>
              <w:t>2</w:t>
            </w:r>
            <w:r>
              <w:rPr>
                <w:rFonts w:hint="eastAsia" w:ascii="宋体" w:hAnsi="宋体" w:cs="宋体"/>
              </w:rPr>
              <w:t>.00</w:t>
            </w:r>
          </w:p>
        </w:tc>
        <w:tc>
          <w:tcPr>
            <w:tcW w:w="6923" w:type="dxa"/>
          </w:tcPr>
          <w:p>
            <w:pPr>
              <w:pStyle w:val="9"/>
              <w:rPr>
                <w:kern w:val="2"/>
                <w:sz w:val="21"/>
                <w:szCs w:val="21"/>
              </w:rPr>
            </w:pPr>
            <w:r>
              <w:rPr>
                <w:rFonts w:hint="eastAsia"/>
                <w:kern w:val="2"/>
                <w:sz w:val="21"/>
                <w:szCs w:val="21"/>
                <w:lang w:val="en-US" w:eastAsia="zh-CN"/>
              </w:rPr>
              <w:t>供应商具备</w:t>
            </w:r>
            <w:r>
              <w:rPr>
                <w:rFonts w:hint="eastAsia"/>
                <w:kern w:val="2"/>
                <w:sz w:val="21"/>
                <w:szCs w:val="21"/>
              </w:rPr>
              <w:t>有害生物</w:t>
            </w:r>
            <w:r>
              <w:rPr>
                <w:rFonts w:hint="eastAsia"/>
                <w:kern w:val="2"/>
                <w:sz w:val="21"/>
                <w:szCs w:val="21"/>
                <w:lang w:val="en-US" w:eastAsia="zh-CN"/>
              </w:rPr>
              <w:t>防治资格证书</w:t>
            </w:r>
            <w:r>
              <w:rPr>
                <w:rFonts w:hint="eastAsia"/>
                <w:kern w:val="2"/>
                <w:sz w:val="21"/>
                <w:szCs w:val="21"/>
              </w:rPr>
              <w:t>得</w:t>
            </w:r>
            <w:r>
              <w:rPr>
                <w:rFonts w:hint="eastAsia"/>
                <w:kern w:val="2"/>
                <w:sz w:val="21"/>
                <w:szCs w:val="21"/>
                <w:lang w:val="en-US" w:eastAsia="zh-CN"/>
              </w:rPr>
              <w:t>2</w:t>
            </w:r>
            <w:r>
              <w:rPr>
                <w:rFonts w:hint="eastAsia"/>
                <w:kern w:val="2"/>
                <w:sz w:val="21"/>
                <w:szCs w:val="21"/>
              </w:rPr>
              <w:t>分。(证书提供</w:t>
            </w:r>
            <w:r>
              <w:rPr>
                <w:rFonts w:hint="eastAsia"/>
                <w:kern w:val="2"/>
                <w:sz w:val="21"/>
                <w:szCs w:val="21"/>
                <w:lang w:val="en-US" w:eastAsia="zh-CN"/>
              </w:rPr>
              <w:t>扫描件</w:t>
            </w:r>
            <w:r>
              <w:rPr>
                <w:rFonts w:hint="eastAsia"/>
                <w:kern w:val="2"/>
                <w:sz w:val="21"/>
                <w:szCs w:val="21"/>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rPr>
            </w:pPr>
          </w:p>
        </w:tc>
        <w:tc>
          <w:tcPr>
            <w:tcW w:w="1276" w:type="dxa"/>
            <w:vAlign w:val="center"/>
          </w:tcPr>
          <w:p>
            <w:pPr>
              <w:pStyle w:val="9"/>
              <w:jc w:val="center"/>
              <w:rPr>
                <w:rFonts w:hint="eastAsia"/>
                <w:kern w:val="2"/>
                <w:sz w:val="21"/>
                <w:szCs w:val="21"/>
                <w:lang w:val="en-US" w:eastAsia="zh-CN"/>
              </w:rPr>
            </w:pPr>
            <w:r>
              <w:rPr>
                <w:rFonts w:hint="eastAsia"/>
                <w:kern w:val="2"/>
                <w:sz w:val="21"/>
                <w:szCs w:val="21"/>
                <w:lang w:val="en-US" w:eastAsia="zh-CN"/>
              </w:rPr>
              <w:t>服务人员</w:t>
            </w:r>
          </w:p>
        </w:tc>
        <w:tc>
          <w:tcPr>
            <w:tcW w:w="851" w:type="dxa"/>
            <w:vAlign w:val="center"/>
          </w:tcPr>
          <w:p>
            <w:pPr>
              <w:snapToGrid w:val="0"/>
              <w:spacing w:line="400" w:lineRule="exact"/>
              <w:jc w:val="center"/>
              <w:rPr>
                <w:rFonts w:hint="default" w:ascii="宋体" w:hAnsi="宋体" w:cs="宋体"/>
                <w:lang w:val="en-US" w:eastAsia="zh-CN"/>
              </w:rPr>
            </w:pPr>
            <w:r>
              <w:rPr>
                <w:rFonts w:hint="eastAsia" w:ascii="宋体" w:hAnsi="宋体" w:cs="宋体"/>
                <w:lang w:val="en-US" w:eastAsia="zh-CN"/>
              </w:rPr>
              <w:t>6.00</w:t>
            </w:r>
          </w:p>
        </w:tc>
        <w:tc>
          <w:tcPr>
            <w:tcW w:w="6923" w:type="dxa"/>
          </w:tcPr>
          <w:p>
            <w:pPr>
              <w:pStyle w:val="9"/>
              <w:rPr>
                <w:rFonts w:hint="eastAsia"/>
                <w:kern w:val="2"/>
                <w:sz w:val="21"/>
                <w:szCs w:val="21"/>
                <w:lang w:val="en-US" w:eastAsia="zh-CN"/>
              </w:rPr>
            </w:pPr>
            <w:r>
              <w:rPr>
                <w:rFonts w:hint="eastAsia"/>
                <w:kern w:val="2"/>
                <w:sz w:val="21"/>
                <w:szCs w:val="21"/>
                <w:lang w:val="en-US" w:eastAsia="zh-CN"/>
              </w:rPr>
              <w:t>拟投入本项目组其他人员具有白蚁防治或有害生物工程师职称证书得 3分，每增加 1人加 2分，本项最多得6分。（提供证书原件的扫描件及2024年任意三个月供应商为其缴纳社保证明并加盖供应商公章）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rPr>
            </w:pPr>
          </w:p>
        </w:tc>
        <w:tc>
          <w:tcPr>
            <w:tcW w:w="1276" w:type="dxa"/>
            <w:vAlign w:val="center"/>
          </w:tcPr>
          <w:p>
            <w:pPr>
              <w:pStyle w:val="9"/>
              <w:jc w:val="center"/>
              <w:rPr>
                <w:rFonts w:hint="default"/>
                <w:kern w:val="2"/>
                <w:sz w:val="21"/>
                <w:szCs w:val="21"/>
                <w:lang w:val="en-US" w:eastAsia="zh-CN"/>
              </w:rPr>
            </w:pPr>
            <w:r>
              <w:rPr>
                <w:rFonts w:hint="eastAsia"/>
                <w:kern w:val="2"/>
                <w:sz w:val="21"/>
                <w:szCs w:val="21"/>
                <w:lang w:val="en-US" w:eastAsia="zh-CN"/>
              </w:rPr>
              <w:t>项目负责人</w:t>
            </w:r>
          </w:p>
        </w:tc>
        <w:tc>
          <w:tcPr>
            <w:tcW w:w="851" w:type="dxa"/>
            <w:vAlign w:val="center"/>
          </w:tcPr>
          <w:p>
            <w:pPr>
              <w:snapToGrid w:val="0"/>
              <w:spacing w:line="400" w:lineRule="exact"/>
              <w:jc w:val="center"/>
              <w:rPr>
                <w:rFonts w:hint="default" w:ascii="宋体" w:hAnsi="宋体" w:cs="宋体"/>
                <w:lang w:val="en-US" w:eastAsia="zh-CN"/>
              </w:rPr>
            </w:pPr>
            <w:r>
              <w:rPr>
                <w:rFonts w:hint="eastAsia" w:ascii="宋体" w:hAnsi="宋体" w:cs="宋体"/>
                <w:lang w:val="en-US" w:eastAsia="zh-CN"/>
              </w:rPr>
              <w:t>3.00</w:t>
            </w:r>
          </w:p>
        </w:tc>
        <w:tc>
          <w:tcPr>
            <w:tcW w:w="6923" w:type="dxa"/>
          </w:tcPr>
          <w:p>
            <w:pPr>
              <w:pStyle w:val="9"/>
              <w:spacing w:line="240" w:lineRule="auto"/>
              <w:rPr>
                <w:rFonts w:hint="eastAsia"/>
                <w:kern w:val="2"/>
                <w:sz w:val="21"/>
                <w:szCs w:val="21"/>
                <w:lang w:val="en-US" w:eastAsia="zh-CN"/>
              </w:rPr>
            </w:pPr>
            <w:r>
              <w:rPr>
                <w:rFonts w:hint="eastAsia"/>
                <w:kern w:val="2"/>
                <w:sz w:val="21"/>
                <w:szCs w:val="21"/>
                <w:lang w:val="en-US" w:eastAsia="zh-CN"/>
              </w:rPr>
              <w:t>本项按下列标准累计评分：1、项目负责人具有白蚁防治或有害生物职称证书的得2分。 2、项目负责人具有有害生物防治员或白蚁防治专业培训证书的得1分。（提供证书原件的扫描件及及2024年任意三个月供应商为其缴纳社保证明并加盖供应商公章作为评审依据）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45" w:type="dxa"/>
            <w:vMerge w:val="restart"/>
            <w:vAlign w:val="center"/>
          </w:tcPr>
          <w:p>
            <w:pPr>
              <w:snapToGrid w:val="0"/>
              <w:spacing w:line="400" w:lineRule="exact"/>
              <w:jc w:val="center"/>
              <w:rPr>
                <w:rFonts w:ascii="宋体" w:hAnsi="宋体" w:cs="宋体"/>
              </w:rPr>
            </w:pPr>
            <w:r>
              <w:rPr>
                <w:rFonts w:hint="eastAsia" w:ascii="宋体" w:hAnsi="宋体" w:cs="宋体"/>
              </w:rPr>
              <w:t>技</w:t>
            </w:r>
          </w:p>
          <w:p>
            <w:pPr>
              <w:snapToGrid w:val="0"/>
              <w:spacing w:line="400" w:lineRule="exact"/>
              <w:jc w:val="center"/>
              <w:rPr>
                <w:rFonts w:ascii="宋体" w:hAnsi="宋体" w:cs="宋体"/>
              </w:rPr>
            </w:pPr>
            <w:r>
              <w:rPr>
                <w:rFonts w:hint="eastAsia" w:ascii="宋体" w:hAnsi="宋体" w:cs="宋体"/>
              </w:rPr>
              <w:t>术</w:t>
            </w:r>
          </w:p>
          <w:p>
            <w:pPr>
              <w:snapToGrid w:val="0"/>
              <w:spacing w:line="400" w:lineRule="exact"/>
              <w:jc w:val="center"/>
              <w:rPr>
                <w:rFonts w:ascii="宋体" w:hAnsi="宋体" w:cs="宋体"/>
              </w:rPr>
            </w:pPr>
            <w:r>
              <w:rPr>
                <w:rFonts w:hint="eastAsia" w:ascii="宋体" w:hAnsi="宋体" w:cs="宋体"/>
              </w:rPr>
              <w:t>评</w:t>
            </w:r>
          </w:p>
          <w:p>
            <w:pPr>
              <w:snapToGrid w:val="0"/>
              <w:spacing w:line="400" w:lineRule="exact"/>
              <w:jc w:val="center"/>
              <w:rPr>
                <w:rFonts w:ascii="宋体" w:hAnsi="宋体" w:cs="宋体"/>
              </w:rPr>
            </w:pPr>
            <w:r>
              <w:rPr>
                <w:rFonts w:hint="eastAsia" w:ascii="宋体" w:hAnsi="宋体" w:cs="宋体"/>
              </w:rPr>
              <w:t>审（</w:t>
            </w:r>
            <w:r>
              <w:rPr>
                <w:rFonts w:hint="eastAsia" w:ascii="宋体" w:hAnsi="宋体" w:cs="宋体"/>
                <w:lang w:val="en-US" w:eastAsia="zh-CN"/>
              </w:rPr>
              <w:t>44</w:t>
            </w:r>
            <w:r>
              <w:rPr>
                <w:rFonts w:hint="eastAsia" w:ascii="宋体" w:hAnsi="宋体" w:cs="宋体"/>
              </w:rPr>
              <w:t>.00）</w:t>
            </w:r>
          </w:p>
        </w:tc>
        <w:tc>
          <w:tcPr>
            <w:tcW w:w="1276" w:type="dxa"/>
            <w:vAlign w:val="center"/>
          </w:tcPr>
          <w:p>
            <w:pPr>
              <w:pStyle w:val="9"/>
              <w:jc w:val="center"/>
              <w:rPr>
                <w:rFonts w:hint="default" w:eastAsia="宋体"/>
                <w:kern w:val="2"/>
                <w:sz w:val="21"/>
                <w:szCs w:val="21"/>
                <w:lang w:val="en-US" w:eastAsia="zh-CN"/>
              </w:rPr>
            </w:pPr>
            <w:r>
              <w:rPr>
                <w:rFonts w:hint="eastAsia"/>
                <w:kern w:val="2"/>
                <w:sz w:val="21"/>
                <w:szCs w:val="21"/>
                <w:lang w:val="en-US" w:eastAsia="zh-CN"/>
              </w:rPr>
              <w:t>白蚁灭杀及防治方案</w:t>
            </w:r>
          </w:p>
        </w:tc>
        <w:tc>
          <w:tcPr>
            <w:tcW w:w="851" w:type="dxa"/>
            <w:vAlign w:val="center"/>
          </w:tcPr>
          <w:p>
            <w:pPr>
              <w:snapToGrid w:val="0"/>
              <w:spacing w:line="400" w:lineRule="exact"/>
              <w:jc w:val="center"/>
              <w:rPr>
                <w:rFonts w:hint="default" w:ascii="宋体" w:hAnsi="宋体" w:eastAsia="宋体" w:cs="宋体"/>
                <w:lang w:val="en-US" w:eastAsia="zh-CN"/>
              </w:rPr>
            </w:pPr>
            <w:r>
              <w:rPr>
                <w:rFonts w:hint="eastAsia" w:ascii="宋体" w:hAnsi="宋体" w:cs="宋体"/>
                <w:lang w:val="en-US" w:eastAsia="zh-CN"/>
              </w:rPr>
              <w:t>16.00</w:t>
            </w:r>
          </w:p>
        </w:tc>
        <w:tc>
          <w:tcPr>
            <w:tcW w:w="6923" w:type="dxa"/>
          </w:tcPr>
          <w:p>
            <w:pPr>
              <w:pStyle w:val="9"/>
              <w:rPr>
                <w:rFonts w:hint="default" w:eastAsia="宋体"/>
                <w:kern w:val="2"/>
                <w:sz w:val="21"/>
                <w:szCs w:val="21"/>
                <w:lang w:val="en-US" w:eastAsia="zh-CN"/>
              </w:rPr>
            </w:pPr>
            <w:r>
              <w:rPr>
                <w:rFonts w:hint="eastAsia"/>
                <w:kern w:val="2"/>
                <w:sz w:val="21"/>
                <w:szCs w:val="21"/>
                <w:lang w:val="en-US" w:eastAsia="zh-CN"/>
              </w:rPr>
              <w:t>供应商根据采购人实际情况编写白蚁灭杀及防治方案，内容包括但不限于：1、白蚁灭杀及防治方法2、安全服务保障3、环保措施4、应急响应预案，每一项内容科学、合理符合采购人实际情况得4分，最多16分，有内容但是不完全符合采购人实际情况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质量和进度保证措施</w:t>
            </w:r>
          </w:p>
        </w:tc>
        <w:tc>
          <w:tcPr>
            <w:tcW w:w="851" w:type="dxa"/>
            <w:vAlign w:val="center"/>
          </w:tcPr>
          <w:p>
            <w:pPr>
              <w:snapToGrid w:val="0"/>
              <w:spacing w:line="400" w:lineRule="exact"/>
              <w:jc w:val="center"/>
              <w:rPr>
                <w:rFonts w:hint="default" w:ascii="宋体" w:hAnsi="宋体" w:cs="宋体"/>
                <w:lang w:val="en-US"/>
              </w:rPr>
            </w:pPr>
            <w:r>
              <w:rPr>
                <w:rFonts w:hint="eastAsia" w:ascii="宋体" w:hAnsi="宋体" w:cs="宋体"/>
                <w:lang w:val="en-US" w:eastAsia="zh-CN"/>
              </w:rPr>
              <w:t>16.00</w:t>
            </w:r>
          </w:p>
        </w:tc>
        <w:tc>
          <w:tcPr>
            <w:tcW w:w="6923" w:type="dxa"/>
          </w:tcPr>
          <w:p>
            <w:pPr>
              <w:pStyle w:val="9"/>
              <w:rPr>
                <w:kern w:val="2"/>
                <w:sz w:val="21"/>
                <w:szCs w:val="21"/>
              </w:rPr>
            </w:pPr>
            <w:r>
              <w:rPr>
                <w:rFonts w:hint="eastAsia"/>
                <w:kern w:val="2"/>
                <w:sz w:val="21"/>
                <w:szCs w:val="21"/>
              </w:rPr>
              <w:t>供应商提供详细的服务质量和进度保证方案:</w:t>
            </w:r>
            <w:r>
              <w:rPr>
                <w:rFonts w:hint="eastAsia"/>
                <w:kern w:val="2"/>
                <w:sz w:val="21"/>
                <w:szCs w:val="21"/>
                <w:lang w:val="en-US" w:eastAsia="zh-CN"/>
              </w:rPr>
              <w:t>1</w:t>
            </w:r>
            <w:r>
              <w:rPr>
                <w:rFonts w:hint="eastAsia"/>
                <w:kern w:val="2"/>
                <w:sz w:val="21"/>
                <w:szCs w:val="21"/>
              </w:rPr>
              <w:t>.有详细的工作阶段及任务划分;</w:t>
            </w:r>
            <w:r>
              <w:rPr>
                <w:rFonts w:hint="eastAsia"/>
                <w:kern w:val="2"/>
                <w:sz w:val="21"/>
                <w:szCs w:val="21"/>
                <w:lang w:val="en-US" w:eastAsia="zh-CN"/>
              </w:rPr>
              <w:t>2</w:t>
            </w:r>
            <w:r>
              <w:rPr>
                <w:rFonts w:hint="eastAsia"/>
                <w:kern w:val="2"/>
                <w:sz w:val="21"/>
                <w:szCs w:val="21"/>
              </w:rPr>
              <w:t xml:space="preserve">有关键时间节点的掌握; </w:t>
            </w:r>
            <w:r>
              <w:rPr>
                <w:rFonts w:hint="eastAsia"/>
                <w:kern w:val="2"/>
                <w:sz w:val="21"/>
                <w:szCs w:val="21"/>
                <w:lang w:val="en-US" w:eastAsia="zh-CN"/>
              </w:rPr>
              <w:t>3</w:t>
            </w:r>
            <w:r>
              <w:rPr>
                <w:rFonts w:hint="eastAsia"/>
                <w:kern w:val="2"/>
                <w:sz w:val="21"/>
                <w:szCs w:val="21"/>
              </w:rPr>
              <w:t>.有严格的进度控制措施;</w:t>
            </w:r>
            <w:r>
              <w:rPr>
                <w:rFonts w:hint="eastAsia"/>
                <w:kern w:val="2"/>
                <w:sz w:val="21"/>
                <w:szCs w:val="21"/>
                <w:lang w:val="en-US" w:eastAsia="zh-CN"/>
              </w:rPr>
              <w:t>4</w:t>
            </w:r>
            <w:r>
              <w:rPr>
                <w:rFonts w:hint="eastAsia"/>
                <w:kern w:val="2"/>
                <w:sz w:val="21"/>
                <w:szCs w:val="21"/>
              </w:rPr>
              <w:t>.有详细的质量保证措;每</w:t>
            </w:r>
            <w:r>
              <w:rPr>
                <w:rFonts w:hint="eastAsia"/>
                <w:kern w:val="2"/>
                <w:sz w:val="21"/>
                <w:szCs w:val="21"/>
                <w:lang w:val="en-US" w:eastAsia="zh-CN"/>
              </w:rPr>
              <w:t>项内容</w:t>
            </w:r>
            <w:r>
              <w:rPr>
                <w:rFonts w:hint="eastAsia"/>
                <w:kern w:val="2"/>
                <w:sz w:val="21"/>
                <w:szCs w:val="21"/>
              </w:rPr>
              <w:t>方案</w:t>
            </w:r>
            <w:r>
              <w:rPr>
                <w:rFonts w:hint="eastAsia"/>
                <w:kern w:val="2"/>
                <w:sz w:val="21"/>
                <w:szCs w:val="21"/>
                <w:lang w:val="en-US" w:eastAsia="zh-CN"/>
              </w:rPr>
              <w:t>详</w:t>
            </w:r>
            <w:r>
              <w:rPr>
                <w:rFonts w:hint="eastAsia"/>
                <w:kern w:val="2"/>
                <w:sz w:val="21"/>
                <w:szCs w:val="21"/>
              </w:rPr>
              <w:t>细、合理、</w:t>
            </w:r>
            <w:r>
              <w:rPr>
                <w:rFonts w:hint="eastAsia"/>
                <w:kern w:val="2"/>
                <w:sz w:val="21"/>
                <w:szCs w:val="21"/>
                <w:lang w:val="en-US" w:eastAsia="zh-CN"/>
              </w:rPr>
              <w:t>科学</w:t>
            </w:r>
            <w:r>
              <w:rPr>
                <w:rFonts w:hint="eastAsia"/>
                <w:kern w:val="2"/>
                <w:sz w:val="21"/>
                <w:szCs w:val="21"/>
              </w:rPr>
              <w:t>可行的得</w:t>
            </w:r>
            <w:r>
              <w:rPr>
                <w:rFonts w:hint="eastAsia"/>
                <w:kern w:val="2"/>
                <w:sz w:val="21"/>
                <w:szCs w:val="21"/>
                <w:lang w:val="en-US" w:eastAsia="zh-CN"/>
              </w:rPr>
              <w:t>4</w:t>
            </w:r>
            <w:r>
              <w:rPr>
                <w:rFonts w:hint="eastAsia"/>
                <w:kern w:val="2"/>
                <w:sz w:val="21"/>
                <w:szCs w:val="21"/>
              </w:rPr>
              <w:t>分，基本合理的得</w:t>
            </w:r>
            <w:r>
              <w:rPr>
                <w:rFonts w:hint="eastAsia"/>
                <w:kern w:val="2"/>
                <w:sz w:val="21"/>
                <w:szCs w:val="21"/>
                <w:lang w:val="en-US" w:eastAsia="zh-CN"/>
              </w:rPr>
              <w:t>2</w:t>
            </w:r>
            <w:r>
              <w:rPr>
                <w:rFonts w:hint="eastAsia"/>
                <w:kern w:val="2"/>
                <w:sz w:val="21"/>
                <w:szCs w:val="21"/>
              </w:rPr>
              <w:t xml:space="preserve">分，不合理或未提供的不得分，本项最多得 </w:t>
            </w:r>
            <w:r>
              <w:rPr>
                <w:rFonts w:hint="eastAsia"/>
                <w:kern w:val="2"/>
                <w:sz w:val="21"/>
                <w:szCs w:val="21"/>
                <w:lang w:val="en-US" w:eastAsia="zh-CN"/>
              </w:rPr>
              <w:t>16</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核心要点分析和重点、难点</w:t>
            </w:r>
          </w:p>
        </w:tc>
        <w:tc>
          <w:tcPr>
            <w:tcW w:w="851" w:type="dxa"/>
            <w:vAlign w:val="center"/>
          </w:tcPr>
          <w:p>
            <w:pPr>
              <w:snapToGrid w:val="0"/>
              <w:spacing w:line="400" w:lineRule="exact"/>
              <w:jc w:val="center"/>
              <w:rPr>
                <w:rFonts w:hint="default" w:ascii="宋体" w:hAnsi="宋体" w:cs="宋体"/>
                <w:lang w:val="en-US"/>
              </w:rPr>
            </w:pPr>
            <w:r>
              <w:rPr>
                <w:rFonts w:hint="eastAsia" w:ascii="宋体" w:hAnsi="宋体" w:cs="宋体"/>
                <w:lang w:val="en-US" w:eastAsia="zh-CN"/>
              </w:rPr>
              <w:t>12.00</w:t>
            </w:r>
          </w:p>
        </w:tc>
        <w:tc>
          <w:tcPr>
            <w:tcW w:w="6923" w:type="dxa"/>
          </w:tcPr>
          <w:p>
            <w:pPr>
              <w:pStyle w:val="9"/>
              <w:rPr>
                <w:kern w:val="2"/>
                <w:sz w:val="21"/>
                <w:szCs w:val="21"/>
              </w:rPr>
            </w:pPr>
            <w:r>
              <w:rPr>
                <w:rFonts w:hint="eastAsia"/>
                <w:kern w:val="2"/>
                <w:sz w:val="21"/>
                <w:szCs w:val="21"/>
              </w:rPr>
              <w:t>供应商对本项目的核心要点和重点、难点进行阐述，制定解决方案</w:t>
            </w:r>
            <w:r>
              <w:rPr>
                <w:rFonts w:hint="eastAsia"/>
                <w:kern w:val="2"/>
                <w:sz w:val="21"/>
                <w:szCs w:val="21"/>
                <w:lang w:val="en-US" w:eastAsia="zh-CN"/>
              </w:rPr>
              <w:t>包括打不限于</w:t>
            </w:r>
            <w:r>
              <w:rPr>
                <w:rFonts w:hint="eastAsia"/>
                <w:kern w:val="2"/>
                <w:sz w:val="21"/>
                <w:szCs w:val="21"/>
              </w:rPr>
              <w:t>:</w:t>
            </w:r>
            <w:r>
              <w:rPr>
                <w:rFonts w:hint="eastAsia"/>
                <w:kern w:val="2"/>
                <w:sz w:val="21"/>
                <w:szCs w:val="21"/>
                <w:lang w:val="en-US" w:eastAsia="zh-CN"/>
              </w:rPr>
              <w:t>1</w:t>
            </w:r>
            <w:r>
              <w:rPr>
                <w:rFonts w:hint="eastAsia"/>
                <w:kern w:val="2"/>
                <w:sz w:val="21"/>
                <w:szCs w:val="21"/>
              </w:rPr>
              <w:t>.有核心要点的阐述;</w:t>
            </w:r>
            <w:r>
              <w:rPr>
                <w:rFonts w:hint="eastAsia"/>
                <w:kern w:val="2"/>
                <w:sz w:val="21"/>
                <w:szCs w:val="21"/>
                <w:lang w:val="en-US" w:eastAsia="zh-CN"/>
              </w:rPr>
              <w:t>2</w:t>
            </w:r>
            <w:r>
              <w:rPr>
                <w:rFonts w:hint="eastAsia"/>
                <w:kern w:val="2"/>
                <w:sz w:val="21"/>
                <w:szCs w:val="21"/>
              </w:rPr>
              <w:t>.有项目重点分析;</w:t>
            </w:r>
            <w:r>
              <w:rPr>
                <w:rFonts w:hint="eastAsia"/>
                <w:kern w:val="2"/>
                <w:sz w:val="21"/>
                <w:szCs w:val="21"/>
                <w:lang w:val="en-US" w:eastAsia="zh-CN"/>
              </w:rPr>
              <w:t>3</w:t>
            </w:r>
            <w:r>
              <w:rPr>
                <w:rFonts w:hint="eastAsia"/>
                <w:kern w:val="2"/>
                <w:sz w:val="21"/>
                <w:szCs w:val="21"/>
              </w:rPr>
              <w:t>.有项目难点的解决措施;每小项详细、合理、可行的得4分，基本合理的得2分，不合理或未提供的不得分，本项最多得12分。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45" w:type="dxa"/>
            <w:vAlign w:val="center"/>
          </w:tcPr>
          <w:p>
            <w:pPr>
              <w:jc w:val="center"/>
              <w:rPr>
                <w:rFonts w:ascii="宋体" w:hAnsi="宋体" w:cs="宋体"/>
              </w:rPr>
            </w:pPr>
            <w:r>
              <w:rPr>
                <w:rFonts w:hint="eastAsia" w:ascii="宋体" w:hAnsi="宋体" w:cs="宋体"/>
              </w:rPr>
              <w:t>价</w:t>
            </w:r>
          </w:p>
          <w:p>
            <w:pPr>
              <w:jc w:val="center"/>
              <w:rPr>
                <w:rFonts w:ascii="宋体" w:hAnsi="宋体" w:cs="宋体"/>
              </w:rPr>
            </w:pPr>
            <w:r>
              <w:rPr>
                <w:rFonts w:hint="eastAsia" w:ascii="宋体" w:hAnsi="宋体" w:cs="宋体"/>
              </w:rPr>
              <w:t>格</w:t>
            </w:r>
          </w:p>
          <w:p>
            <w:pPr>
              <w:jc w:val="center"/>
              <w:rPr>
                <w:rFonts w:ascii="宋体" w:hAnsi="宋体" w:cs="宋体"/>
              </w:rPr>
            </w:pPr>
            <w:r>
              <w:rPr>
                <w:rFonts w:hint="eastAsia" w:ascii="宋体" w:hAnsi="宋体" w:cs="宋体"/>
              </w:rPr>
              <w:t>评</w:t>
            </w:r>
          </w:p>
          <w:p>
            <w:pPr>
              <w:jc w:val="center"/>
              <w:rPr>
                <w:rFonts w:ascii="宋体" w:hAnsi="宋体" w:cs="宋体"/>
              </w:rPr>
            </w:pPr>
            <w:r>
              <w:rPr>
                <w:rFonts w:hint="eastAsia" w:ascii="宋体" w:hAnsi="宋体" w:cs="宋体"/>
              </w:rPr>
              <w:t>审（</w:t>
            </w:r>
            <w:r>
              <w:rPr>
                <w:rFonts w:hint="eastAsia" w:ascii="宋体" w:hAnsi="宋体" w:cs="宋体"/>
                <w:lang w:val="en-US" w:eastAsia="zh-CN"/>
              </w:rPr>
              <w:t>30.00</w:t>
            </w:r>
            <w:r>
              <w:rPr>
                <w:rFonts w:hint="eastAsia" w:ascii="宋体" w:hAnsi="宋体" w:cs="宋体"/>
              </w:rPr>
              <w:t>）</w:t>
            </w:r>
          </w:p>
        </w:tc>
        <w:tc>
          <w:tcPr>
            <w:tcW w:w="1276" w:type="dxa"/>
            <w:vAlign w:val="center"/>
          </w:tcPr>
          <w:p>
            <w:pPr>
              <w:snapToGrid w:val="0"/>
              <w:spacing w:line="400" w:lineRule="exact"/>
              <w:jc w:val="center"/>
              <w:rPr>
                <w:rFonts w:ascii="宋体" w:hAnsi="宋体" w:cs="宋体"/>
              </w:rPr>
            </w:pPr>
            <w:r>
              <w:rPr>
                <w:rFonts w:hint="eastAsia" w:ascii="宋体" w:hAnsi="宋体" w:cs="宋体"/>
              </w:rPr>
              <w:t>报价</w:t>
            </w:r>
          </w:p>
        </w:tc>
        <w:tc>
          <w:tcPr>
            <w:tcW w:w="851" w:type="dxa"/>
            <w:vAlign w:val="center"/>
          </w:tcPr>
          <w:p>
            <w:pPr>
              <w:snapToGrid w:val="0"/>
              <w:spacing w:line="400" w:lineRule="exact"/>
              <w:jc w:val="center"/>
              <w:rPr>
                <w:rFonts w:ascii="宋体" w:hAnsi="宋体" w:cs="宋体"/>
              </w:rPr>
            </w:pPr>
            <w:r>
              <w:rPr>
                <w:rFonts w:hint="eastAsia" w:ascii="宋体" w:hAnsi="宋体" w:cs="宋体"/>
                <w:lang w:val="en-US" w:eastAsia="zh-CN"/>
              </w:rPr>
              <w:t>30</w:t>
            </w:r>
            <w:r>
              <w:rPr>
                <w:rFonts w:hint="eastAsia" w:ascii="宋体" w:hAnsi="宋体" w:cs="宋体"/>
              </w:rPr>
              <w:t>.00</w:t>
            </w:r>
          </w:p>
        </w:tc>
        <w:tc>
          <w:tcPr>
            <w:tcW w:w="6923" w:type="dxa"/>
            <w:vAlign w:val="center"/>
          </w:tcPr>
          <w:p>
            <w:pPr>
              <w:snapToGrid w:val="0"/>
              <w:ind w:firstLine="411" w:firstLineChars="196"/>
              <w:rPr>
                <w:rFonts w:ascii="宋体" w:hAnsi="宋体"/>
              </w:rPr>
            </w:pPr>
            <w:r>
              <w:rPr>
                <w:rFonts w:hint="eastAsia" w:ascii="宋体" w:hAnsi="宋体"/>
              </w:rPr>
              <w:t>报价分采用低价优先法计算，即满足招标文件要求且最终报价最低的投标报价为评标基准价，其报价得分为</w:t>
            </w:r>
            <w:r>
              <w:rPr>
                <w:rFonts w:hint="eastAsia" w:ascii="宋体" w:hAnsi="宋体"/>
                <w:lang w:val="en-US" w:eastAsia="zh-CN"/>
              </w:rPr>
              <w:t>30</w:t>
            </w:r>
            <w:r>
              <w:rPr>
                <w:rFonts w:hint="eastAsia" w:ascii="宋体" w:hAnsi="宋体"/>
              </w:rPr>
              <w:t>。</w:t>
            </w:r>
          </w:p>
          <w:p>
            <w:pPr>
              <w:snapToGrid w:val="0"/>
              <w:ind w:firstLine="411" w:firstLineChars="196"/>
              <w:rPr>
                <w:rFonts w:ascii="宋体" w:hAnsi="宋体"/>
              </w:rPr>
            </w:pPr>
            <w:r>
              <w:rPr>
                <w:rFonts w:hint="eastAsia" w:ascii="宋体" w:hAnsi="宋体"/>
              </w:rPr>
              <w:t>其他投标人的报价得分按照下列公式计算：</w:t>
            </w:r>
          </w:p>
          <w:p>
            <w:pPr>
              <w:snapToGrid w:val="0"/>
              <w:ind w:firstLine="411" w:firstLineChars="196"/>
              <w:rPr>
                <w:rFonts w:ascii="宋体" w:hAnsi="宋体" w:cs="宋体"/>
              </w:rPr>
            </w:pPr>
            <w:r>
              <w:rPr>
                <w:rFonts w:hint="eastAsia" w:ascii="宋体" w:hAnsi="宋体"/>
              </w:rPr>
              <w:t>投标报价得分=(评标基准价／投标报价)×价格权值（</w:t>
            </w:r>
            <w:r>
              <w:rPr>
                <w:rFonts w:hint="eastAsia" w:ascii="宋体" w:hAnsi="宋体"/>
                <w:lang w:val="en-US" w:eastAsia="zh-CN"/>
              </w:rPr>
              <w:t>30</w:t>
            </w:r>
            <w:r>
              <w:rPr>
                <w:rFonts w:hint="eastAsia" w:ascii="宋体" w:hAnsi="宋体"/>
              </w:rPr>
              <w:t>）</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56291280"/>
      <w:bookmarkStart w:id="3" w:name="_Toc456291354"/>
      <w:bookmarkStart w:id="4" w:name="_Toc456291537"/>
      <w:bookmarkStart w:id="5" w:name="_Toc462487372"/>
      <w:bookmarkStart w:id="6" w:name="_Toc456291165"/>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p>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2A9A26B6"/>
    <w:rsid w:val="3549291A"/>
    <w:rsid w:val="5EE10EFE"/>
    <w:rsid w:val="5F856FE6"/>
    <w:rsid w:val="74503A2F"/>
    <w:rsid w:val="75A836CD"/>
    <w:rsid w:val="78D93E53"/>
    <w:rsid w:val="7CA17F67"/>
    <w:rsid w:val="7E0715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4312</Words>
  <Characters>4661</Characters>
  <Lines>44</Lines>
  <Paragraphs>12</Paragraphs>
  <TotalTime>2</TotalTime>
  <ScaleCrop>false</ScaleCrop>
  <LinksUpToDate>false</LinksUpToDate>
  <CharactersWithSpaces>5462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2024-06-26T02:21:00Z</cp:lastPrinted>
  <dcterms:modified xsi:type="dcterms:W3CDTF">2024-07-16T03:45:16Z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89545C96ACD9407289FF16ECEDF95A2F_13</vt:lpwstr>
  </property>
</Properties>
</file>