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宜昌市中心人民医院伍家院区进修宿舍地块改造工程项目进行院内采购，欢迎广大符合条件的投标人踊跃投标。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hint="default" w:cs="Times New Roman"/>
          <w:sz w:val="28"/>
          <w:szCs w:val="28"/>
          <w:lang w:val="en-US"/>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2024-2034</w:t>
      </w:r>
    </w:p>
    <w:p>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bookmarkStart w:id="8" w:name="_GoBack"/>
      <w:r>
        <w:rPr>
          <w:rFonts w:hint="eastAsia"/>
          <w:sz w:val="28"/>
          <w:szCs w:val="28"/>
        </w:rPr>
        <w:t>伍家院区进修宿舍地块改造工程项目</w:t>
      </w:r>
      <w:bookmarkEnd w:id="8"/>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7</w:t>
      </w:r>
      <w:r>
        <w:rPr>
          <w:rFonts w:hint="eastAsia"/>
          <w:color w:val="FF0000"/>
          <w:sz w:val="28"/>
          <w:szCs w:val="28"/>
        </w:rPr>
        <w:t>月</w:t>
      </w:r>
      <w:r>
        <w:rPr>
          <w:rFonts w:hint="eastAsia"/>
          <w:color w:val="FF0000"/>
          <w:sz w:val="28"/>
          <w:szCs w:val="28"/>
          <w:lang w:val="en-US" w:eastAsia="zh-CN"/>
        </w:rPr>
        <w:t>22</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sz w:val="28"/>
          <w:szCs w:val="28"/>
          <w:u w:val="single"/>
          <w:lang w:val="en-US" w:eastAsia="zh-CN"/>
        </w:rPr>
        <w:t>伍家院区9号楼3楼312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2024-2034</w:t>
      </w:r>
    </w:p>
    <w:p>
      <w:pPr>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、项目名称：宜昌市中心人民医院伍家院区进修宿舍地块改造工程项目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9.4</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5、投标人须具备建设行政主管部门核发的建筑工程施工总承包三级及以上资质证书。（上传资质证书原件彩色扫描件）</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ind w:firstLine="562" w:firstLineChars="200"/>
        <w:jc w:val="left"/>
        <w:rPr>
          <w:rFonts w:ascii="宋体" w:hAnsi="宋体"/>
          <w:sz w:val="28"/>
          <w:szCs w:val="28"/>
          <w:lang w:val="zh-CN"/>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伍家院区家属区进修宿舍已拆除完毕，</w:t>
      </w:r>
      <w:r>
        <w:rPr>
          <w:rFonts w:hint="eastAsia" w:ascii="宋体" w:hAnsi="宋体"/>
          <w:sz w:val="28"/>
          <w:szCs w:val="28"/>
          <w:lang w:val="en-US" w:eastAsia="zh-CN"/>
        </w:rPr>
        <w:t>拆除后</w:t>
      </w:r>
      <w:r>
        <w:rPr>
          <w:rFonts w:hint="eastAsia" w:ascii="宋体" w:hAnsi="宋体"/>
          <w:sz w:val="28"/>
          <w:szCs w:val="28"/>
          <w:lang w:val="zh-CN"/>
        </w:rPr>
        <w:t>地块占地面积260平米，与家属区停车楼相邻。拟对地块围墙抹灰加固、地面硬化刷黑，通道与停车楼连通，规划停车位6个。</w:t>
      </w:r>
    </w:p>
    <w:p>
      <w:pPr>
        <w:widowControl/>
        <w:spacing w:line="50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tbl>
      <w:tblPr>
        <w:tblStyle w:val="10"/>
        <w:tblW w:w="11320" w:type="dxa"/>
        <w:tblInd w:w="-1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1425"/>
        <w:gridCol w:w="4935"/>
        <w:gridCol w:w="1440"/>
        <w:gridCol w:w="1260"/>
        <w:gridCol w:w="1005"/>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320" w:type="dxa"/>
            <w:gridSpan w:val="7"/>
            <w:tcBorders>
              <w:top w:val="nil"/>
              <w:left w:val="nil"/>
              <w:bottom w:val="nil"/>
              <w:right w:val="nil"/>
            </w:tcBorders>
            <w:shd w:val="clear" w:color="auto" w:fill="auto"/>
            <w:noWrap/>
            <w:vAlign w:val="center"/>
          </w:tcPr>
          <w:p>
            <w:pPr>
              <w:jc w:val="center"/>
              <w:rPr>
                <w:rFonts w:hint="default" w:ascii="宋体" w:hAnsi="宋体" w:eastAsia="宋体" w:cs="宋体"/>
                <w:b/>
                <w:bCs/>
                <w:i w:val="0"/>
                <w:iCs w:val="0"/>
                <w:color w:val="000000"/>
                <w:sz w:val="24"/>
                <w:szCs w:val="24"/>
                <w:u w:val="none"/>
                <w:lang w:val="en-US" w:eastAsia="zh-CN"/>
              </w:rPr>
            </w:pPr>
            <w:r>
              <w:rPr>
                <w:rFonts w:hint="eastAsia" w:ascii="宋体" w:hAnsi="宋体" w:cs="宋体"/>
                <w:sz w:val="28"/>
                <w:szCs w:val="28"/>
              </w:rPr>
              <w:t>宜昌市中心人民医院伍家院区进修宿舍地块改造工程项目</w:t>
            </w:r>
            <w:r>
              <w:rPr>
                <w:rFonts w:hint="eastAsia" w:ascii="宋体" w:hAnsi="宋体" w:cs="宋体"/>
                <w:sz w:val="28"/>
                <w:szCs w:val="28"/>
                <w:lang w:val="en-US" w:eastAsia="zh-CN"/>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特征描述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拆除混凝土</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混凝土基础拆除，余渣外运15km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26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1.68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路基整形</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原土路基整形，夯实</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6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沥青混凝土</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1、60厚PAC-13细粒式改性透水沥青混凝土面层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2、6厚乳化沥青封层(使用规格PC-3，用量0.45L/平方米)</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3、200厚C25混凝土</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4、150厚级配碎石</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6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排水管道</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HDPE加筋钢带增强双壁波纹管D200，承插式连接或橡胶密封圈连接环刚度10kn/m2，C20砼满包</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6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单篦雨水口</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雨水口采用平箅式单箅雨水口(铸铁箅子)覆土深度为0.7米</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126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标线</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150mm宽2mm热熔车位线</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6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挡车器</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普通停车位车档，长1900mm橡胶车档</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6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砂浆抹面</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墙面水泥砂浆抹面：20mm厚DP M15干混砂浆；10mm厚DP M20干混砂浆；两遍抹灰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6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路面恢复</w:t>
            </w:r>
          </w:p>
        </w:tc>
        <w:tc>
          <w:tcPr>
            <w:tcW w:w="49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拆除原截水沟，恢复路面</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26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widowControl/>
        <w:spacing w:line="500" w:lineRule="exact"/>
        <w:jc w:val="left"/>
        <w:rPr>
          <w:rFonts w:ascii="宋体" w:hAnsi="宋体" w:cs="宋体"/>
          <w:bCs/>
          <w:color w:val="FF0000"/>
          <w:kern w:val="0"/>
          <w:sz w:val="28"/>
          <w:szCs w:val="28"/>
        </w:rPr>
      </w:pPr>
      <w:r>
        <w:rPr>
          <w:rFonts w:hint="eastAsia" w:ascii="宋体" w:hAnsi="宋体" w:cs="宋体"/>
          <w:b/>
          <w:kern w:val="0"/>
          <w:sz w:val="28"/>
        </w:rPr>
        <w:t>3.</w:t>
      </w:r>
      <w:r>
        <w:rPr>
          <w:rFonts w:ascii="宋体" w:hAnsi="宋体" w:cs="宋体"/>
          <w:b/>
          <w:kern w:val="0"/>
          <w:sz w:val="28"/>
        </w:rPr>
        <w:t>3</w:t>
      </w:r>
      <w:r>
        <w:rPr>
          <w:rFonts w:hint="eastAsia" w:ascii="宋体" w:hAnsi="宋体" w:cs="宋体"/>
          <w:b/>
          <w:kern w:val="0"/>
          <w:sz w:val="28"/>
        </w:rPr>
        <w:t>商务要求</w:t>
      </w:r>
      <w:r>
        <w:rPr>
          <w:rFonts w:hint="eastAsia" w:ascii="宋体" w:hAnsi="宋体"/>
          <w:sz w:val="28"/>
          <w:szCs w:val="28"/>
          <w:lang w:val="zh-CN"/>
        </w:rPr>
        <w:t>：</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 xml:space="preserve">施工工期要求：25日历天 </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r>
        <w:rPr>
          <w:rFonts w:ascii="宋体" w:hAnsi="宋体" w:cs="宋体"/>
          <w:kern w:val="0"/>
          <w:sz w:val="28"/>
          <w:szCs w:val="28"/>
        </w:rPr>
        <w:t>④</w:t>
      </w:r>
      <w:r>
        <w:rPr>
          <w:rFonts w:hint="eastAsia" w:ascii="宋体" w:hAnsi="宋体" w:cs="宋体"/>
          <w:kern w:val="0"/>
          <w:sz w:val="28"/>
          <w:szCs w:val="28"/>
        </w:rPr>
        <w:t>施工时间为早7:00至12:30，晚2:30至20:00；</w:t>
      </w:r>
      <w:r>
        <w:rPr>
          <w:rFonts w:ascii="宋体" w:hAnsi="宋体" w:cs="宋体"/>
          <w:kern w:val="0"/>
          <w:sz w:val="28"/>
          <w:szCs w:val="28"/>
        </w:rPr>
        <w:t>⑤</w:t>
      </w:r>
      <w:r>
        <w:rPr>
          <w:rFonts w:hint="eastAsia" w:ascii="宋体" w:hAnsi="宋体" w:cs="宋体"/>
          <w:kern w:val="0"/>
          <w:sz w:val="28"/>
          <w:szCs w:val="28"/>
        </w:rPr>
        <w:t>12345市长热线投诉一次罚款2000元。</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工程验收标准：</w:t>
      </w:r>
      <w:r>
        <w:rPr>
          <w:rFonts w:ascii="宋体" w:hAnsi="宋体" w:cs="宋体"/>
          <w:kern w:val="0"/>
          <w:sz w:val="28"/>
          <w:szCs w:val="28"/>
        </w:rPr>
        <w:t>本工程以施工图纸、作法说明、设计变更等国家制订的施工及验收规范为质量评定验收标准</w:t>
      </w:r>
      <w:r>
        <w:rPr>
          <w:rFonts w:hint="eastAsia" w:ascii="宋体" w:hAnsi="宋体" w:cs="宋体"/>
          <w:kern w:val="0"/>
          <w:sz w:val="28"/>
          <w:szCs w:val="28"/>
        </w:rPr>
        <w:t>，</w:t>
      </w:r>
      <w:r>
        <w:rPr>
          <w:rFonts w:ascii="宋体" w:hAnsi="宋体" w:cs="宋体"/>
          <w:kern w:val="0"/>
          <w:sz w:val="28"/>
          <w:szCs w:val="28"/>
        </w:rPr>
        <w:t>达到国家现行相关工程施工验收规范合格等级标准。由于乙方原因造成质量事故，其</w:t>
      </w:r>
      <w:r>
        <w:rPr>
          <w:rFonts w:hint="eastAsia" w:ascii="宋体" w:hAnsi="宋体" w:cs="宋体"/>
          <w:kern w:val="0"/>
          <w:sz w:val="28"/>
          <w:szCs w:val="28"/>
        </w:rPr>
        <w:t>材料</w:t>
      </w:r>
      <w:r>
        <w:rPr>
          <w:rFonts w:ascii="宋体" w:hAnsi="宋体" w:cs="宋体"/>
          <w:kern w:val="0"/>
          <w:sz w:val="28"/>
          <w:szCs w:val="28"/>
        </w:rPr>
        <w:t>费</w:t>
      </w:r>
      <w:r>
        <w:rPr>
          <w:rFonts w:hint="eastAsia" w:ascii="宋体" w:hAnsi="宋体" w:cs="宋体"/>
          <w:kern w:val="0"/>
          <w:sz w:val="28"/>
          <w:szCs w:val="28"/>
        </w:rPr>
        <w:t>、人工费</w:t>
      </w:r>
      <w:r>
        <w:rPr>
          <w:rFonts w:ascii="宋体" w:hAnsi="宋体" w:cs="宋体"/>
          <w:kern w:val="0"/>
          <w:sz w:val="28"/>
          <w:szCs w:val="28"/>
        </w:rPr>
        <w:t>用由乙方承担，工期不顺延。</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安全生产要求：达到《建筑施工安全检查标准》JGJ59-2011合格标准，避免发生安全事故。</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检查和返工：中标商应认真按照标准、规范和设计的要求施工，随时接受甲方代表的检查测验、为检查测验提供便利条件，并按采购方代表的要求返工、修改，承担由自身原因导致返工、修改的费用。</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报价：投标价格采用方式：全费用固定单价，工程量按实结算，承包方式为包工包料。投标供应商的中标全费用固定单价在合同执行期间一次包干，工程量按实际铺设数量经审计复核后进行结算，中标单位不得以任何理由予以变更单价，除非招标人提出的设计变更。</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投标价格：投标报价必须包括</w:t>
      </w:r>
      <w:r>
        <w:rPr>
          <w:rFonts w:ascii="宋体" w:hAnsi="宋体" w:cs="宋体"/>
          <w:kern w:val="0"/>
          <w:sz w:val="28"/>
          <w:szCs w:val="28"/>
        </w:rPr>
        <w:t>材料费、制作费、五金配件费、运输费、安装费、保险费、工程检测费、管理费及税金等所有费用</w:t>
      </w:r>
      <w:r>
        <w:rPr>
          <w:rFonts w:hint="eastAsia" w:ascii="宋体" w:hAnsi="宋体" w:cs="宋体"/>
          <w:kern w:val="0"/>
          <w:sz w:val="28"/>
          <w:szCs w:val="28"/>
        </w:rPr>
        <w:t>。</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付款条件及方式：工程验收合格经审计</w:t>
      </w:r>
      <w:r>
        <w:rPr>
          <w:rFonts w:hint="eastAsia" w:ascii="宋体" w:hAnsi="宋体" w:cs="宋体"/>
          <w:kern w:val="0"/>
          <w:sz w:val="28"/>
          <w:szCs w:val="28"/>
          <w:lang w:val="en-US" w:eastAsia="zh-CN"/>
        </w:rPr>
        <w:t>后支</w:t>
      </w:r>
      <w:r>
        <w:rPr>
          <w:rFonts w:hint="eastAsia" w:ascii="宋体" w:hAnsi="宋体" w:cs="宋体"/>
          <w:kern w:val="0"/>
          <w:sz w:val="28"/>
          <w:szCs w:val="28"/>
        </w:rPr>
        <w:t>付</w:t>
      </w:r>
      <w:r>
        <w:rPr>
          <w:rFonts w:hint="eastAsia" w:ascii="宋体" w:hAnsi="宋体" w:cs="宋体"/>
          <w:kern w:val="0"/>
          <w:sz w:val="28"/>
          <w:szCs w:val="28"/>
          <w:lang w:val="en-US" w:eastAsia="zh-CN"/>
        </w:rPr>
        <w:t>至</w:t>
      </w:r>
      <w:r>
        <w:rPr>
          <w:rFonts w:hint="eastAsia" w:ascii="宋体" w:hAnsi="宋体" w:cs="宋体"/>
          <w:kern w:val="0"/>
          <w:sz w:val="28"/>
          <w:szCs w:val="28"/>
        </w:rPr>
        <w:t>审</w:t>
      </w:r>
      <w:r>
        <w:rPr>
          <w:rFonts w:hint="eastAsia" w:ascii="宋体" w:hAnsi="宋体" w:cs="宋体"/>
          <w:kern w:val="0"/>
          <w:sz w:val="28"/>
          <w:szCs w:val="28"/>
          <w:lang w:val="en-US" w:eastAsia="zh-CN"/>
        </w:rPr>
        <w:t>定</w:t>
      </w:r>
      <w:r>
        <w:rPr>
          <w:rFonts w:hint="eastAsia" w:ascii="宋体" w:hAnsi="宋体" w:cs="宋体"/>
          <w:kern w:val="0"/>
          <w:sz w:val="28"/>
          <w:szCs w:val="28"/>
        </w:rPr>
        <w:t>金额的</w:t>
      </w:r>
      <w:r>
        <w:rPr>
          <w:rFonts w:hint="eastAsia" w:ascii="宋体" w:hAnsi="宋体" w:cs="宋体"/>
          <w:kern w:val="0"/>
          <w:sz w:val="28"/>
          <w:szCs w:val="28"/>
          <w:lang w:val="en-US" w:eastAsia="zh-CN"/>
        </w:rPr>
        <w:t>98.5</w:t>
      </w:r>
      <w:r>
        <w:rPr>
          <w:rFonts w:hint="eastAsia" w:ascii="宋体" w:hAnsi="宋体" w:cs="宋体"/>
          <w:kern w:val="0"/>
          <w:sz w:val="28"/>
          <w:szCs w:val="28"/>
        </w:rPr>
        <w:t>%，余</w:t>
      </w:r>
      <w:r>
        <w:rPr>
          <w:rFonts w:hint="eastAsia" w:ascii="宋体" w:hAnsi="宋体" w:cs="宋体"/>
          <w:kern w:val="0"/>
          <w:sz w:val="28"/>
          <w:szCs w:val="28"/>
          <w:lang w:val="en-US" w:eastAsia="zh-CN"/>
        </w:rPr>
        <w:t>1.</w:t>
      </w:r>
      <w:r>
        <w:rPr>
          <w:rFonts w:hint="eastAsia" w:ascii="宋体" w:hAnsi="宋体" w:cs="宋体"/>
          <w:kern w:val="0"/>
          <w:sz w:val="28"/>
          <w:szCs w:val="28"/>
        </w:rPr>
        <w:t>5%</w:t>
      </w:r>
      <w:r>
        <w:rPr>
          <w:rFonts w:hint="eastAsia" w:ascii="宋体" w:hAnsi="宋体" w:cs="宋体"/>
          <w:kern w:val="0"/>
          <w:sz w:val="28"/>
          <w:szCs w:val="28"/>
          <w:lang w:val="en-US" w:eastAsia="zh-CN"/>
        </w:rPr>
        <w:t>作为</w:t>
      </w:r>
      <w:r>
        <w:rPr>
          <w:rFonts w:hint="eastAsia" w:ascii="宋体" w:hAnsi="宋体" w:cs="宋体"/>
          <w:kern w:val="0"/>
          <w:sz w:val="28"/>
          <w:szCs w:val="28"/>
        </w:rPr>
        <w:t>尾款24个月后无质量问题全额无息支付。水电费按照合同价的0.7%进行计算，从工程款中扣还甲方。</w:t>
      </w:r>
    </w:p>
    <w:p>
      <w:pPr>
        <w:widowControl/>
        <w:spacing w:line="500" w:lineRule="exact"/>
        <w:ind w:firstLine="560" w:firstLineChars="200"/>
        <w:jc w:val="left"/>
        <w:rPr>
          <w:rFonts w:ascii="宋体" w:hAnsi="宋体"/>
          <w:color w:val="333333"/>
          <w:kern w:val="0"/>
        </w:rPr>
      </w:pPr>
      <w:r>
        <w:rPr>
          <w:rFonts w:hint="eastAsia" w:ascii="宋体" w:hAnsi="宋体" w:cs="宋体"/>
          <w:kern w:val="0"/>
          <w:sz w:val="28"/>
          <w:szCs w:val="28"/>
        </w:rPr>
        <w:t>质保期：工程验收合格后贰年，防水质保期伍年。</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08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rPr>
            </w:pPr>
            <w:r>
              <w:rPr>
                <w:rFonts w:hint="eastAsia" w:ascii="宋体" w:hAnsi="宋体"/>
                <w:b/>
              </w:rPr>
              <w:t>审查内容</w:t>
            </w:r>
          </w:p>
        </w:tc>
        <w:tc>
          <w:tcPr>
            <w:tcW w:w="5670" w:type="dxa"/>
            <w:tcBorders>
              <w:left w:val="single" w:color="auto" w:sz="4" w:space="0"/>
            </w:tcBorders>
            <w:vAlign w:val="center"/>
          </w:tcPr>
          <w:p>
            <w:pPr>
              <w:spacing w:line="460" w:lineRule="exact"/>
              <w:jc w:val="center"/>
              <w:rPr>
                <w:rFonts w:ascii="宋体" w:hAnsi="宋体"/>
                <w:b/>
              </w:rPr>
            </w:pPr>
            <w:r>
              <w:rPr>
                <w:rFonts w:hint="eastAsia" w:ascii="宋体" w:hAnsi="宋体"/>
                <w:b/>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资格性</w:t>
            </w:r>
            <w:r>
              <w:rPr>
                <w:rFonts w:ascii="宋体" w:hAnsi="宋体"/>
              </w:rPr>
              <w:t>审查</w:t>
            </w: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具有独立承担民事责任的能力</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主体信用记录</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公正性</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联合体</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highlight w:val="green"/>
              </w:rPr>
            </w:pPr>
            <w:r>
              <w:rPr>
                <w:rFonts w:hint="eastAsia" w:ascii="宋体" w:hAnsi="宋体"/>
              </w:rPr>
              <w:t>资质要求</w:t>
            </w:r>
          </w:p>
        </w:tc>
        <w:tc>
          <w:tcPr>
            <w:tcW w:w="5670" w:type="dxa"/>
            <w:tcBorders>
              <w:left w:val="single" w:color="auto" w:sz="4" w:space="0"/>
            </w:tcBorders>
            <w:vAlign w:val="center"/>
          </w:tcPr>
          <w:p>
            <w:pPr>
              <w:spacing w:line="460" w:lineRule="exact"/>
              <w:jc w:val="left"/>
              <w:rPr>
                <w:rFonts w:ascii="宋体" w:hAnsi="宋体"/>
              </w:rPr>
            </w:pPr>
            <w:r>
              <w:rPr>
                <w:rFonts w:hint="eastAsia" w:ascii="宋体" w:hAnsi="宋体"/>
              </w:rPr>
              <w:t>投标人须具备建设行政主管部门核发的建筑工程施工总承包三级及以上资质证书。（上传资质证书原件彩色扫描件）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符合性审查</w:t>
            </w: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投标人名称</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投标文件签署</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采购需求</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其他要求</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符合法律、法规和采购文件中规定的其他实质性内容的</w:t>
            </w:r>
          </w:p>
        </w:tc>
      </w:tr>
    </w:tbl>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76"/>
        <w:gridCol w:w="851"/>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45" w:type="dxa"/>
            <w:vAlign w:val="center"/>
          </w:tcPr>
          <w:p>
            <w:pPr>
              <w:snapToGrid w:val="0"/>
              <w:spacing w:line="400" w:lineRule="exact"/>
              <w:jc w:val="center"/>
              <w:rPr>
                <w:rFonts w:ascii="宋体" w:hAnsi="宋体" w:cs="宋体"/>
              </w:rPr>
            </w:pPr>
            <w:r>
              <w:rPr>
                <w:rFonts w:hint="eastAsia" w:ascii="宋体" w:hAnsi="宋体" w:cs="宋体"/>
              </w:rPr>
              <w:t>内容</w:t>
            </w:r>
          </w:p>
        </w:tc>
        <w:tc>
          <w:tcPr>
            <w:tcW w:w="1276" w:type="dxa"/>
            <w:vAlign w:val="center"/>
          </w:tcPr>
          <w:p>
            <w:pPr>
              <w:snapToGrid w:val="0"/>
              <w:spacing w:line="400" w:lineRule="exact"/>
              <w:jc w:val="center"/>
              <w:rPr>
                <w:rFonts w:ascii="宋体" w:hAnsi="宋体" w:cs="宋体"/>
              </w:rPr>
            </w:pPr>
            <w:r>
              <w:rPr>
                <w:rFonts w:hint="eastAsia" w:ascii="宋体" w:hAnsi="宋体" w:cs="宋体"/>
              </w:rPr>
              <w:t>评审因素</w:t>
            </w:r>
          </w:p>
        </w:tc>
        <w:tc>
          <w:tcPr>
            <w:tcW w:w="851" w:type="dxa"/>
            <w:vAlign w:val="center"/>
          </w:tcPr>
          <w:p>
            <w:pPr>
              <w:snapToGrid w:val="0"/>
              <w:spacing w:line="400" w:lineRule="exact"/>
              <w:jc w:val="center"/>
              <w:rPr>
                <w:rFonts w:ascii="宋体" w:hAnsi="宋体" w:cs="宋体"/>
              </w:rPr>
            </w:pPr>
            <w:r>
              <w:rPr>
                <w:rFonts w:hint="eastAsia" w:ascii="宋体" w:hAnsi="宋体" w:cs="宋体"/>
              </w:rPr>
              <w:t>分值</w:t>
            </w:r>
          </w:p>
        </w:tc>
        <w:tc>
          <w:tcPr>
            <w:tcW w:w="6923" w:type="dxa"/>
            <w:vAlign w:val="center"/>
          </w:tcPr>
          <w:p>
            <w:pPr>
              <w:snapToGrid w:val="0"/>
              <w:spacing w:line="400" w:lineRule="exact"/>
              <w:jc w:val="center"/>
              <w:rPr>
                <w:rFonts w:ascii="宋体" w:hAnsi="宋体" w:cs="宋体"/>
              </w:rPr>
            </w:pPr>
            <w:r>
              <w:rPr>
                <w:rFonts w:hint="eastAsia" w:ascii="宋体" w:hAnsi="宋体" w:cs="宋体"/>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45" w:type="dxa"/>
            <w:vMerge w:val="restart"/>
            <w:vAlign w:val="center"/>
          </w:tcPr>
          <w:p>
            <w:pPr>
              <w:snapToGrid w:val="0"/>
              <w:spacing w:line="400" w:lineRule="exact"/>
              <w:jc w:val="center"/>
              <w:rPr>
                <w:rFonts w:ascii="宋体" w:hAnsi="宋体" w:cs="宋体"/>
              </w:rPr>
            </w:pPr>
            <w:r>
              <w:rPr>
                <w:rFonts w:hint="eastAsia" w:ascii="宋体" w:hAnsi="宋体" w:cs="宋体"/>
              </w:rPr>
              <w:t>商</w:t>
            </w:r>
          </w:p>
          <w:p>
            <w:pPr>
              <w:snapToGrid w:val="0"/>
              <w:spacing w:line="400" w:lineRule="exact"/>
              <w:jc w:val="center"/>
              <w:rPr>
                <w:rFonts w:ascii="宋体" w:hAnsi="宋体" w:cs="宋体"/>
              </w:rPr>
            </w:pPr>
            <w:r>
              <w:rPr>
                <w:rFonts w:hint="eastAsia" w:ascii="宋体" w:hAnsi="宋体" w:cs="宋体"/>
              </w:rPr>
              <w:t>务</w:t>
            </w:r>
          </w:p>
          <w:p>
            <w:pPr>
              <w:snapToGrid w:val="0"/>
              <w:spacing w:line="400" w:lineRule="exact"/>
              <w:jc w:val="center"/>
              <w:rPr>
                <w:rFonts w:ascii="宋体" w:hAnsi="宋体" w:cs="宋体"/>
              </w:rPr>
            </w:pPr>
            <w:r>
              <w:rPr>
                <w:rFonts w:hint="eastAsia" w:ascii="宋体" w:hAnsi="宋体" w:cs="宋体"/>
              </w:rPr>
              <w:t>评</w:t>
            </w:r>
          </w:p>
          <w:p>
            <w:pPr>
              <w:snapToGrid w:val="0"/>
              <w:spacing w:line="400" w:lineRule="exact"/>
              <w:jc w:val="center"/>
              <w:rPr>
                <w:rFonts w:ascii="宋体" w:hAnsi="宋体" w:cs="宋体"/>
              </w:rPr>
            </w:pPr>
            <w:r>
              <w:rPr>
                <w:rFonts w:hint="eastAsia" w:ascii="宋体" w:hAnsi="宋体" w:cs="宋体"/>
              </w:rPr>
              <w:t>审（21.00）</w:t>
            </w:r>
          </w:p>
        </w:tc>
        <w:tc>
          <w:tcPr>
            <w:tcW w:w="1276" w:type="dxa"/>
            <w:vAlign w:val="center"/>
          </w:tcPr>
          <w:p>
            <w:pPr>
              <w:snapToGrid w:val="0"/>
              <w:spacing w:line="400" w:lineRule="exact"/>
              <w:jc w:val="center"/>
              <w:rPr>
                <w:rFonts w:ascii="宋体" w:hAnsi="宋体" w:cs="宋体"/>
              </w:rPr>
            </w:pPr>
            <w:r>
              <w:rPr>
                <w:rFonts w:ascii="宋体" w:hAnsi="宋体" w:cs="宋体"/>
              </w:rPr>
              <w:t>类似业绩</w:t>
            </w:r>
          </w:p>
        </w:tc>
        <w:tc>
          <w:tcPr>
            <w:tcW w:w="851" w:type="dxa"/>
            <w:vAlign w:val="center"/>
          </w:tcPr>
          <w:p>
            <w:pPr>
              <w:snapToGrid w:val="0"/>
              <w:spacing w:line="400" w:lineRule="exact"/>
              <w:jc w:val="center"/>
              <w:rPr>
                <w:rFonts w:ascii="宋体" w:hAnsi="宋体" w:cs="宋体"/>
              </w:rPr>
            </w:pPr>
            <w:r>
              <w:rPr>
                <w:rFonts w:hint="eastAsia" w:ascii="宋体" w:hAnsi="宋体" w:cs="宋体"/>
              </w:rPr>
              <w:t>6.00</w:t>
            </w:r>
          </w:p>
        </w:tc>
        <w:tc>
          <w:tcPr>
            <w:tcW w:w="6923" w:type="dxa"/>
            <w:vAlign w:val="center"/>
          </w:tcPr>
          <w:p>
            <w:pPr>
              <w:pStyle w:val="9"/>
              <w:rPr>
                <w:sz w:val="21"/>
                <w:szCs w:val="21"/>
              </w:rPr>
            </w:pPr>
            <w:r>
              <w:rPr>
                <w:rFonts w:hint="eastAsia"/>
                <w:sz w:val="21"/>
                <w:szCs w:val="21"/>
              </w:rPr>
              <w:t>供应商自2021年1月1日以来(以合同签订时间为准)，承担过类似装修装饰工程施工业绩的得2分，本项最多得6分。(未完工程须提供中标通知书(如有)复印件、施工合同复印件 ，已完工程须同时提供中标通知书(如有)复印件、施工合同复印件、竣工验收报告(或竣工验收案证)复印件以供核查且应能完全反映上述考核内容，否则评审专家将不予采信。)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45" w:type="dxa"/>
            <w:vMerge w:val="continue"/>
            <w:vAlign w:val="center"/>
          </w:tcPr>
          <w:p>
            <w:pPr>
              <w:pStyle w:val="4"/>
              <w:adjustRightInd w:val="0"/>
              <w:snapToGrid w:val="0"/>
              <w:spacing w:line="400" w:lineRule="exact"/>
              <w:ind w:left="105" w:leftChars="50" w:right="105" w:rightChars="50"/>
              <w:jc w:val="center"/>
              <w:rPr>
                <w:rFonts w:ascii="宋体" w:hAnsi="宋体" w:cs="宋体"/>
              </w:rPr>
            </w:pPr>
          </w:p>
        </w:tc>
        <w:tc>
          <w:tcPr>
            <w:tcW w:w="1276" w:type="dxa"/>
            <w:vAlign w:val="center"/>
          </w:tcPr>
          <w:p>
            <w:pPr>
              <w:pStyle w:val="9"/>
              <w:jc w:val="center"/>
              <w:rPr>
                <w:kern w:val="2"/>
                <w:sz w:val="21"/>
                <w:szCs w:val="21"/>
              </w:rPr>
            </w:pPr>
            <w:r>
              <w:rPr>
                <w:kern w:val="2"/>
                <w:sz w:val="21"/>
                <w:szCs w:val="21"/>
              </w:rPr>
              <w:t>企业荣誉</w:t>
            </w:r>
          </w:p>
        </w:tc>
        <w:tc>
          <w:tcPr>
            <w:tcW w:w="851" w:type="dxa"/>
            <w:vAlign w:val="center"/>
          </w:tcPr>
          <w:p>
            <w:pPr>
              <w:snapToGrid w:val="0"/>
              <w:spacing w:line="400" w:lineRule="exact"/>
              <w:jc w:val="center"/>
              <w:rPr>
                <w:rFonts w:ascii="宋体" w:hAnsi="宋体" w:cs="宋体"/>
              </w:rPr>
            </w:pPr>
            <w:r>
              <w:rPr>
                <w:rFonts w:hint="eastAsia" w:ascii="宋体" w:hAnsi="宋体" w:cs="宋体"/>
              </w:rPr>
              <w:t>15.00</w:t>
            </w:r>
          </w:p>
        </w:tc>
        <w:tc>
          <w:tcPr>
            <w:tcW w:w="6923" w:type="dxa"/>
          </w:tcPr>
          <w:p>
            <w:pPr>
              <w:pStyle w:val="9"/>
              <w:rPr>
                <w:kern w:val="2"/>
                <w:sz w:val="21"/>
                <w:szCs w:val="21"/>
              </w:rPr>
            </w:pPr>
            <w:r>
              <w:rPr>
                <w:rFonts w:hint="eastAsia"/>
                <w:kern w:val="2"/>
                <w:sz w:val="21"/>
                <w:szCs w:val="21"/>
              </w:rPr>
              <w:t>供应商自2021年1月1日以来获得过行业主管部门或建筑业协会颁发的优秀建筑业企业表彰得5分;连续二年获得过行业主管部门或建筑业协会颁发的优秀建筑业企业表彰得10分;连续三年及以上获得过行业主管部门或建筑业协会颁发的优秀建筑业企业表彰得15分;本项最多得15分(以获奖证书或表彰文件颁发时间头准，提供获奖证书或者表彰文件的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45" w:type="dxa"/>
            <w:vMerge w:val="restart"/>
            <w:vAlign w:val="center"/>
          </w:tcPr>
          <w:p>
            <w:pPr>
              <w:snapToGrid w:val="0"/>
              <w:spacing w:line="400" w:lineRule="exact"/>
              <w:jc w:val="center"/>
              <w:rPr>
                <w:rFonts w:ascii="宋体" w:hAnsi="宋体" w:cs="宋体"/>
              </w:rPr>
            </w:pPr>
            <w:r>
              <w:rPr>
                <w:rFonts w:hint="eastAsia" w:ascii="宋体" w:hAnsi="宋体" w:cs="宋体"/>
              </w:rPr>
              <w:t>技</w:t>
            </w:r>
          </w:p>
          <w:p>
            <w:pPr>
              <w:snapToGrid w:val="0"/>
              <w:spacing w:line="400" w:lineRule="exact"/>
              <w:jc w:val="center"/>
              <w:rPr>
                <w:rFonts w:ascii="宋体" w:hAnsi="宋体" w:cs="宋体"/>
              </w:rPr>
            </w:pPr>
            <w:r>
              <w:rPr>
                <w:rFonts w:hint="eastAsia" w:ascii="宋体" w:hAnsi="宋体" w:cs="宋体"/>
              </w:rPr>
              <w:t>术</w:t>
            </w:r>
          </w:p>
          <w:p>
            <w:pPr>
              <w:snapToGrid w:val="0"/>
              <w:spacing w:line="400" w:lineRule="exact"/>
              <w:jc w:val="center"/>
              <w:rPr>
                <w:rFonts w:ascii="宋体" w:hAnsi="宋体" w:cs="宋体"/>
              </w:rPr>
            </w:pPr>
            <w:r>
              <w:rPr>
                <w:rFonts w:hint="eastAsia" w:ascii="宋体" w:hAnsi="宋体" w:cs="宋体"/>
              </w:rPr>
              <w:t>评</w:t>
            </w:r>
          </w:p>
          <w:p>
            <w:pPr>
              <w:snapToGrid w:val="0"/>
              <w:spacing w:line="400" w:lineRule="exact"/>
              <w:jc w:val="center"/>
              <w:rPr>
                <w:rFonts w:ascii="宋体" w:hAnsi="宋体" w:cs="宋体"/>
              </w:rPr>
            </w:pPr>
            <w:r>
              <w:rPr>
                <w:rFonts w:hint="eastAsia" w:ascii="宋体" w:hAnsi="宋体" w:cs="宋体"/>
              </w:rPr>
              <w:t>审（59.00）</w:t>
            </w:r>
          </w:p>
        </w:tc>
        <w:tc>
          <w:tcPr>
            <w:tcW w:w="1276" w:type="dxa"/>
            <w:vAlign w:val="center"/>
          </w:tcPr>
          <w:p>
            <w:pPr>
              <w:pStyle w:val="9"/>
              <w:jc w:val="center"/>
              <w:rPr>
                <w:kern w:val="2"/>
                <w:sz w:val="21"/>
                <w:szCs w:val="21"/>
              </w:rPr>
            </w:pPr>
            <w:r>
              <w:rPr>
                <w:kern w:val="2"/>
                <w:sz w:val="21"/>
                <w:szCs w:val="21"/>
              </w:rPr>
              <w:t>技术评议</w:t>
            </w:r>
          </w:p>
        </w:tc>
        <w:tc>
          <w:tcPr>
            <w:tcW w:w="851" w:type="dxa"/>
            <w:vAlign w:val="center"/>
          </w:tcPr>
          <w:p>
            <w:pPr>
              <w:snapToGrid w:val="0"/>
              <w:spacing w:line="400" w:lineRule="exact"/>
              <w:jc w:val="center"/>
              <w:rPr>
                <w:rFonts w:ascii="宋体" w:hAnsi="宋体" w:cs="宋体"/>
              </w:rPr>
            </w:pPr>
            <w:r>
              <w:rPr>
                <w:rFonts w:hint="eastAsia" w:ascii="宋体" w:hAnsi="宋体" w:cs="宋体"/>
              </w:rPr>
              <w:t>20.00</w:t>
            </w:r>
          </w:p>
        </w:tc>
        <w:tc>
          <w:tcPr>
            <w:tcW w:w="6923" w:type="dxa"/>
          </w:tcPr>
          <w:p>
            <w:pPr>
              <w:pStyle w:val="9"/>
              <w:rPr>
                <w:kern w:val="2"/>
                <w:sz w:val="21"/>
                <w:szCs w:val="21"/>
              </w:rPr>
            </w:pPr>
            <w:r>
              <w:rPr>
                <w:rFonts w:hint="eastAsia"/>
                <w:kern w:val="2"/>
                <w:sz w:val="21"/>
                <w:szCs w:val="21"/>
              </w:rPr>
              <w:t>供应商提供科学合理的项目实施方案:内容包括①.总体计划;②.工作范围;③.安装任务;④.工作目标;每小项方案详细、完善、合理可行的得5分，基本合理的得3分，不合理或未提供的不得分，本项最多得 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45" w:type="dxa"/>
            <w:vMerge w:val="continue"/>
            <w:vAlign w:val="center"/>
          </w:tcPr>
          <w:p>
            <w:pPr>
              <w:snapToGrid w:val="0"/>
              <w:spacing w:line="400" w:lineRule="exact"/>
              <w:jc w:val="center"/>
              <w:rPr>
                <w:rFonts w:ascii="宋体" w:hAnsi="宋体" w:cs="宋体"/>
              </w:rPr>
            </w:pPr>
          </w:p>
        </w:tc>
        <w:tc>
          <w:tcPr>
            <w:tcW w:w="1276" w:type="dxa"/>
            <w:vAlign w:val="center"/>
          </w:tcPr>
          <w:p>
            <w:pPr>
              <w:pStyle w:val="9"/>
              <w:jc w:val="center"/>
              <w:rPr>
                <w:kern w:val="2"/>
                <w:sz w:val="21"/>
                <w:szCs w:val="21"/>
              </w:rPr>
            </w:pPr>
            <w:r>
              <w:rPr>
                <w:kern w:val="2"/>
                <w:sz w:val="21"/>
                <w:szCs w:val="21"/>
              </w:rPr>
              <w:t>质量和进度保证措施</w:t>
            </w:r>
          </w:p>
        </w:tc>
        <w:tc>
          <w:tcPr>
            <w:tcW w:w="851" w:type="dxa"/>
            <w:vAlign w:val="center"/>
          </w:tcPr>
          <w:p>
            <w:pPr>
              <w:snapToGrid w:val="0"/>
              <w:spacing w:line="400" w:lineRule="exact"/>
              <w:jc w:val="center"/>
              <w:rPr>
                <w:rFonts w:ascii="宋体" w:hAnsi="宋体" w:cs="宋体"/>
              </w:rPr>
            </w:pPr>
            <w:r>
              <w:rPr>
                <w:rFonts w:hint="eastAsia" w:ascii="宋体" w:hAnsi="宋体" w:cs="宋体"/>
              </w:rPr>
              <w:t>20.00</w:t>
            </w:r>
          </w:p>
        </w:tc>
        <w:tc>
          <w:tcPr>
            <w:tcW w:w="6923" w:type="dxa"/>
          </w:tcPr>
          <w:p>
            <w:pPr>
              <w:pStyle w:val="9"/>
              <w:rPr>
                <w:kern w:val="2"/>
                <w:sz w:val="21"/>
                <w:szCs w:val="21"/>
              </w:rPr>
            </w:pPr>
            <w:r>
              <w:rPr>
                <w:rFonts w:hint="eastAsia"/>
                <w:kern w:val="2"/>
                <w:sz w:val="21"/>
                <w:szCs w:val="21"/>
              </w:rPr>
              <w:t>供应商提供详细的服务质量和进度保证方案:①.有详细的工作阶段及任务划分;②有关键时间节点的掌握; ③.有严格的进度控制措施;④.有详细的质量保证措;每小项方案细、合理、可行的得5分，基本合理的得3分，不合理或未提供的不得分，本项最多得 20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45" w:type="dxa"/>
            <w:vMerge w:val="continue"/>
            <w:vAlign w:val="center"/>
          </w:tcPr>
          <w:p>
            <w:pPr>
              <w:snapToGrid w:val="0"/>
              <w:spacing w:line="400" w:lineRule="exact"/>
              <w:jc w:val="center"/>
              <w:rPr>
                <w:rFonts w:ascii="宋体" w:hAnsi="宋体" w:cs="宋体"/>
              </w:rPr>
            </w:pPr>
          </w:p>
        </w:tc>
        <w:tc>
          <w:tcPr>
            <w:tcW w:w="1276" w:type="dxa"/>
            <w:vAlign w:val="center"/>
          </w:tcPr>
          <w:p>
            <w:pPr>
              <w:pStyle w:val="9"/>
              <w:jc w:val="center"/>
              <w:rPr>
                <w:kern w:val="2"/>
                <w:sz w:val="21"/>
                <w:szCs w:val="21"/>
              </w:rPr>
            </w:pPr>
            <w:r>
              <w:rPr>
                <w:kern w:val="2"/>
                <w:sz w:val="21"/>
                <w:szCs w:val="21"/>
              </w:rPr>
              <w:t>核心要点分析和重点、难点</w:t>
            </w:r>
          </w:p>
        </w:tc>
        <w:tc>
          <w:tcPr>
            <w:tcW w:w="851" w:type="dxa"/>
            <w:vAlign w:val="center"/>
          </w:tcPr>
          <w:p>
            <w:pPr>
              <w:snapToGrid w:val="0"/>
              <w:spacing w:line="400" w:lineRule="exact"/>
              <w:jc w:val="center"/>
              <w:rPr>
                <w:rFonts w:ascii="宋体" w:hAnsi="宋体" w:cs="宋体"/>
              </w:rPr>
            </w:pPr>
            <w:r>
              <w:rPr>
                <w:rFonts w:hint="eastAsia" w:ascii="宋体" w:hAnsi="宋体" w:cs="宋体"/>
              </w:rPr>
              <w:t>12.00</w:t>
            </w:r>
          </w:p>
        </w:tc>
        <w:tc>
          <w:tcPr>
            <w:tcW w:w="6923" w:type="dxa"/>
          </w:tcPr>
          <w:p>
            <w:pPr>
              <w:pStyle w:val="9"/>
              <w:rPr>
                <w:kern w:val="2"/>
                <w:sz w:val="21"/>
                <w:szCs w:val="21"/>
              </w:rPr>
            </w:pPr>
            <w:r>
              <w:rPr>
                <w:rFonts w:hint="eastAsia"/>
                <w:kern w:val="2"/>
                <w:sz w:val="21"/>
                <w:szCs w:val="21"/>
              </w:rPr>
              <w:t>供应商对本项目的核心要点和重点、难点进行阐述，制定解决方案:①.有核心要点的阐述;②.有项目重点分析;③.有项目难点的解决措施;每小项详细、合理、可行的得4分，基本合理的得2分，不合理或未提供的不得分，本项最多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45" w:type="dxa"/>
            <w:vMerge w:val="continue"/>
            <w:vAlign w:val="center"/>
          </w:tcPr>
          <w:p>
            <w:pPr>
              <w:snapToGrid w:val="0"/>
              <w:spacing w:line="400" w:lineRule="exact"/>
              <w:jc w:val="center"/>
              <w:rPr>
                <w:rFonts w:ascii="宋体" w:hAnsi="宋体" w:cs="宋体"/>
              </w:rPr>
            </w:pPr>
          </w:p>
        </w:tc>
        <w:tc>
          <w:tcPr>
            <w:tcW w:w="1276" w:type="dxa"/>
            <w:vAlign w:val="center"/>
          </w:tcPr>
          <w:p>
            <w:pPr>
              <w:pStyle w:val="9"/>
              <w:jc w:val="center"/>
              <w:rPr>
                <w:kern w:val="2"/>
                <w:sz w:val="21"/>
                <w:szCs w:val="21"/>
              </w:rPr>
            </w:pPr>
            <w:r>
              <w:rPr>
                <w:kern w:val="2"/>
                <w:sz w:val="21"/>
                <w:szCs w:val="21"/>
              </w:rPr>
              <w:t>保修服务</w:t>
            </w:r>
          </w:p>
        </w:tc>
        <w:tc>
          <w:tcPr>
            <w:tcW w:w="851" w:type="dxa"/>
            <w:vAlign w:val="center"/>
          </w:tcPr>
          <w:p>
            <w:pPr>
              <w:snapToGrid w:val="0"/>
              <w:spacing w:line="400" w:lineRule="exact"/>
              <w:jc w:val="center"/>
              <w:rPr>
                <w:rFonts w:ascii="宋体" w:hAnsi="宋体" w:cs="宋体"/>
              </w:rPr>
            </w:pPr>
            <w:r>
              <w:rPr>
                <w:rFonts w:hint="eastAsia" w:ascii="宋体" w:hAnsi="宋体" w:cs="宋体"/>
              </w:rPr>
              <w:t>3.00</w:t>
            </w:r>
          </w:p>
        </w:tc>
        <w:tc>
          <w:tcPr>
            <w:tcW w:w="6923" w:type="dxa"/>
          </w:tcPr>
          <w:p>
            <w:pPr>
              <w:pStyle w:val="9"/>
              <w:rPr>
                <w:kern w:val="2"/>
                <w:sz w:val="21"/>
                <w:szCs w:val="21"/>
              </w:rPr>
            </w:pPr>
            <w:r>
              <w:rPr>
                <w:rFonts w:hint="eastAsia"/>
                <w:kern w:val="2"/>
                <w:sz w:val="21"/>
                <w:szCs w:val="21"/>
              </w:rPr>
              <w:t>后期服务内容:制定项目保修期方案，内容清晰明了、科学合理、可行的得3分，基本合理的得1分，不合理或未提供的不得分。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45" w:type="dxa"/>
            <w:vMerge w:val="continue"/>
            <w:vAlign w:val="center"/>
          </w:tcPr>
          <w:p>
            <w:pPr>
              <w:snapToGrid w:val="0"/>
              <w:spacing w:line="400" w:lineRule="exact"/>
              <w:jc w:val="center"/>
              <w:rPr>
                <w:rFonts w:ascii="宋体" w:hAnsi="宋体" w:cs="宋体"/>
              </w:rPr>
            </w:pPr>
          </w:p>
        </w:tc>
        <w:tc>
          <w:tcPr>
            <w:tcW w:w="1276" w:type="dxa"/>
            <w:vAlign w:val="center"/>
          </w:tcPr>
          <w:p>
            <w:pPr>
              <w:pStyle w:val="9"/>
              <w:jc w:val="center"/>
              <w:rPr>
                <w:kern w:val="2"/>
                <w:sz w:val="21"/>
                <w:szCs w:val="21"/>
              </w:rPr>
            </w:pPr>
            <w:r>
              <w:rPr>
                <w:kern w:val="2"/>
                <w:sz w:val="21"/>
                <w:szCs w:val="21"/>
              </w:rPr>
              <w:t>应急预案</w:t>
            </w:r>
          </w:p>
        </w:tc>
        <w:tc>
          <w:tcPr>
            <w:tcW w:w="851" w:type="dxa"/>
            <w:vAlign w:val="center"/>
          </w:tcPr>
          <w:p>
            <w:pPr>
              <w:snapToGrid w:val="0"/>
              <w:spacing w:line="400" w:lineRule="exact"/>
              <w:jc w:val="center"/>
              <w:rPr>
                <w:rFonts w:ascii="宋体" w:hAnsi="宋体" w:cs="宋体"/>
              </w:rPr>
            </w:pPr>
            <w:r>
              <w:rPr>
                <w:rFonts w:hint="eastAsia" w:ascii="宋体" w:hAnsi="宋体" w:cs="宋体"/>
              </w:rPr>
              <w:t>4.00</w:t>
            </w:r>
          </w:p>
        </w:tc>
        <w:tc>
          <w:tcPr>
            <w:tcW w:w="6923" w:type="dxa"/>
          </w:tcPr>
          <w:p>
            <w:pPr>
              <w:pStyle w:val="9"/>
              <w:rPr>
                <w:kern w:val="2"/>
                <w:sz w:val="21"/>
                <w:szCs w:val="21"/>
              </w:rPr>
            </w:pPr>
            <w:r>
              <w:rPr>
                <w:rFonts w:hint="eastAsia"/>
                <w:kern w:val="2"/>
                <w:sz w:val="21"/>
                <w:szCs w:val="21"/>
              </w:rPr>
              <w:t>对施工过程中的突发情况，提供的事故应急预案内容完整、科学合理、可行的得4分，基本合理的得2分，不合理或未提供的不得分。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745" w:type="dxa"/>
            <w:vAlign w:val="center"/>
          </w:tcPr>
          <w:p>
            <w:pPr>
              <w:jc w:val="center"/>
              <w:rPr>
                <w:rFonts w:ascii="宋体" w:hAnsi="宋体" w:cs="宋体"/>
              </w:rPr>
            </w:pPr>
            <w:r>
              <w:rPr>
                <w:rFonts w:hint="eastAsia" w:ascii="宋体" w:hAnsi="宋体" w:cs="宋体"/>
              </w:rPr>
              <w:t>价</w:t>
            </w:r>
          </w:p>
          <w:p>
            <w:pPr>
              <w:jc w:val="center"/>
              <w:rPr>
                <w:rFonts w:ascii="宋体" w:hAnsi="宋体" w:cs="宋体"/>
              </w:rPr>
            </w:pPr>
            <w:r>
              <w:rPr>
                <w:rFonts w:hint="eastAsia" w:ascii="宋体" w:hAnsi="宋体" w:cs="宋体"/>
              </w:rPr>
              <w:t>格</w:t>
            </w:r>
          </w:p>
          <w:p>
            <w:pPr>
              <w:jc w:val="center"/>
              <w:rPr>
                <w:rFonts w:ascii="宋体" w:hAnsi="宋体" w:cs="宋体"/>
              </w:rPr>
            </w:pPr>
            <w:r>
              <w:rPr>
                <w:rFonts w:hint="eastAsia" w:ascii="宋体" w:hAnsi="宋体" w:cs="宋体"/>
              </w:rPr>
              <w:t>评</w:t>
            </w:r>
          </w:p>
          <w:p>
            <w:pPr>
              <w:jc w:val="center"/>
              <w:rPr>
                <w:rFonts w:ascii="宋体" w:hAnsi="宋体" w:cs="宋体"/>
              </w:rPr>
            </w:pPr>
            <w:r>
              <w:rPr>
                <w:rFonts w:hint="eastAsia" w:ascii="宋体" w:hAnsi="宋体" w:cs="宋体"/>
              </w:rPr>
              <w:t>审（20.00）</w:t>
            </w:r>
          </w:p>
        </w:tc>
        <w:tc>
          <w:tcPr>
            <w:tcW w:w="1276" w:type="dxa"/>
            <w:vAlign w:val="center"/>
          </w:tcPr>
          <w:p>
            <w:pPr>
              <w:snapToGrid w:val="0"/>
              <w:spacing w:line="400" w:lineRule="exact"/>
              <w:jc w:val="center"/>
              <w:rPr>
                <w:rFonts w:ascii="宋体" w:hAnsi="宋体" w:cs="宋体"/>
              </w:rPr>
            </w:pPr>
            <w:r>
              <w:rPr>
                <w:rFonts w:hint="eastAsia" w:ascii="宋体" w:hAnsi="宋体" w:cs="宋体"/>
              </w:rPr>
              <w:t>报价</w:t>
            </w:r>
          </w:p>
        </w:tc>
        <w:tc>
          <w:tcPr>
            <w:tcW w:w="851" w:type="dxa"/>
            <w:vAlign w:val="center"/>
          </w:tcPr>
          <w:p>
            <w:pPr>
              <w:snapToGrid w:val="0"/>
              <w:spacing w:line="400" w:lineRule="exact"/>
              <w:jc w:val="center"/>
              <w:rPr>
                <w:rFonts w:ascii="宋体" w:hAnsi="宋体" w:cs="宋体"/>
              </w:rPr>
            </w:pPr>
            <w:r>
              <w:rPr>
                <w:rFonts w:hint="eastAsia" w:ascii="宋体" w:hAnsi="宋体" w:cs="宋体"/>
              </w:rPr>
              <w:t>2</w:t>
            </w:r>
            <w:r>
              <w:rPr>
                <w:rFonts w:ascii="宋体" w:hAnsi="宋体" w:cs="宋体"/>
              </w:rPr>
              <w:t>0</w:t>
            </w:r>
            <w:r>
              <w:rPr>
                <w:rFonts w:hint="eastAsia" w:ascii="宋体" w:hAnsi="宋体" w:cs="宋体"/>
              </w:rPr>
              <w:t>.00</w:t>
            </w:r>
          </w:p>
        </w:tc>
        <w:tc>
          <w:tcPr>
            <w:tcW w:w="6923" w:type="dxa"/>
            <w:vAlign w:val="center"/>
          </w:tcPr>
          <w:p>
            <w:pPr>
              <w:snapToGrid w:val="0"/>
              <w:ind w:firstLine="411" w:firstLineChars="196"/>
              <w:rPr>
                <w:rFonts w:ascii="宋体" w:hAnsi="宋体"/>
              </w:rPr>
            </w:pPr>
            <w:r>
              <w:rPr>
                <w:rFonts w:hint="eastAsia" w:ascii="宋体" w:hAnsi="宋体"/>
              </w:rPr>
              <w:t>报价分采用低价优先法计算，即满足招标文件要求且最终报价最低的投标报价为评标基准价，其报价得分为2</w:t>
            </w:r>
            <w:r>
              <w:rPr>
                <w:rFonts w:ascii="宋体" w:hAnsi="宋体"/>
              </w:rPr>
              <w:t>0</w:t>
            </w:r>
            <w:r>
              <w:rPr>
                <w:rFonts w:hint="eastAsia" w:ascii="宋体" w:hAnsi="宋体"/>
              </w:rPr>
              <w:t>。</w:t>
            </w:r>
          </w:p>
          <w:p>
            <w:pPr>
              <w:snapToGrid w:val="0"/>
              <w:ind w:firstLine="411" w:firstLineChars="196"/>
              <w:rPr>
                <w:rFonts w:ascii="宋体" w:hAnsi="宋体"/>
              </w:rPr>
            </w:pPr>
            <w:r>
              <w:rPr>
                <w:rFonts w:hint="eastAsia" w:ascii="宋体" w:hAnsi="宋体"/>
              </w:rPr>
              <w:t>其他投标人的报价得分按照下列公式计算：</w:t>
            </w:r>
          </w:p>
          <w:p>
            <w:pPr>
              <w:snapToGrid w:val="0"/>
              <w:ind w:firstLine="411" w:firstLineChars="196"/>
              <w:rPr>
                <w:rFonts w:ascii="宋体" w:hAnsi="宋体" w:cs="宋体"/>
              </w:rPr>
            </w:pPr>
            <w:r>
              <w:rPr>
                <w:rFonts w:hint="eastAsia" w:ascii="宋体" w:hAnsi="宋体"/>
              </w:rPr>
              <w:t>投标报价得分=(评标基准价／投标报价)×价格权值（2</w:t>
            </w:r>
            <w:r>
              <w:rPr>
                <w:rFonts w:ascii="宋体" w:hAnsi="宋体"/>
              </w:rPr>
              <w:t>0</w:t>
            </w:r>
            <w:r>
              <w:rPr>
                <w:rFonts w:hint="eastAsia" w:ascii="宋体" w:hAnsi="宋体"/>
              </w:rPr>
              <w:t>）</w:t>
            </w:r>
          </w:p>
        </w:tc>
      </w:tr>
    </w:tbl>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62487372"/>
      <w:bookmarkStart w:id="2" w:name="_Toc456291354"/>
      <w:bookmarkStart w:id="3" w:name="_Toc456291165"/>
      <w:bookmarkStart w:id="4" w:name="_Toc456291260"/>
      <w:bookmarkStart w:id="5" w:name="_Toc456291280"/>
      <w:bookmarkStart w:id="6" w:name="_Toc456291537"/>
      <w:bookmarkStart w:id="7" w:name="_Toc456291479"/>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2"/>
        <w:jc w:val="center"/>
        <w:rPr>
          <w:sz w:val="28"/>
          <w:szCs w:val="28"/>
        </w:rPr>
      </w:pPr>
    </w:p>
    <w:p>
      <w:pPr>
        <w:jc w:val="lef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26F8"/>
    <w:rsid w:val="00103BCA"/>
    <w:rsid w:val="00110A4C"/>
    <w:rsid w:val="00114108"/>
    <w:rsid w:val="001153D5"/>
    <w:rsid w:val="00116FC5"/>
    <w:rsid w:val="001249D2"/>
    <w:rsid w:val="00125F97"/>
    <w:rsid w:val="0013281D"/>
    <w:rsid w:val="00144226"/>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2D51"/>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401E67"/>
    <w:rsid w:val="00412907"/>
    <w:rsid w:val="00421514"/>
    <w:rsid w:val="00424AFD"/>
    <w:rsid w:val="004303FC"/>
    <w:rsid w:val="00431633"/>
    <w:rsid w:val="00440AB7"/>
    <w:rsid w:val="00446638"/>
    <w:rsid w:val="004536EF"/>
    <w:rsid w:val="00453CDC"/>
    <w:rsid w:val="00474384"/>
    <w:rsid w:val="00492E11"/>
    <w:rsid w:val="004A4255"/>
    <w:rsid w:val="004B272B"/>
    <w:rsid w:val="004C4E45"/>
    <w:rsid w:val="004D2F37"/>
    <w:rsid w:val="004D43F7"/>
    <w:rsid w:val="004D59EA"/>
    <w:rsid w:val="00503601"/>
    <w:rsid w:val="00521CC1"/>
    <w:rsid w:val="0052240D"/>
    <w:rsid w:val="00534A2A"/>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81F"/>
    <w:rsid w:val="00601A2A"/>
    <w:rsid w:val="00605EDC"/>
    <w:rsid w:val="006071BB"/>
    <w:rsid w:val="006212AD"/>
    <w:rsid w:val="00625A02"/>
    <w:rsid w:val="006300B6"/>
    <w:rsid w:val="0064231C"/>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D6D6E"/>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2AD"/>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36E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4EF4"/>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5F856FE6"/>
    <w:rsid w:val="6B8841B1"/>
    <w:rsid w:val="74503A2F"/>
    <w:rsid w:val="78D93E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正文_1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1">
    <w:name w:val="批注文字 Char"/>
    <w:basedOn w:val="12"/>
    <w:link w:val="4"/>
    <w:qFormat/>
    <w:uiPriority w:val="99"/>
    <w:rPr>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D85E-DF06-46C1-BFBD-AE5308A0D7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4963</Words>
  <Characters>5409</Characters>
  <Lines>44</Lines>
  <Paragraphs>12</Paragraphs>
  <TotalTime>0</TotalTime>
  <ScaleCrop>false</ScaleCrop>
  <LinksUpToDate>false</LinksUpToDate>
  <CharactersWithSpaces>6215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2023-12-22T00:25:00Z</dcterms:created>
  <dc:creator>dell</dc:creator>
  <cp:lastModifiedBy>Administrator</cp:lastModifiedBy>
  <cp:lastPrinted>2018-08-22T03:24:00Z</cp:lastPrinted>
  <dcterms:modified xsi:type="dcterms:W3CDTF">2024-07-16T04:35:11Z</dcterms:modified>
  <dc:title>宜昌市中心人民医院</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0199DC93A4194D07BBD26F83C727EBB0_13</vt:lpwstr>
  </property>
</Properties>
</file>