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宜昌市中心人民医院</w:t>
      </w:r>
      <w:r>
        <w:rPr>
          <w:rFonts w:hint="eastAsia"/>
          <w:sz w:val="28"/>
          <w:szCs w:val="28"/>
        </w:rPr>
        <w:t>西陵院区1号楼配电室发电机房双电源切换柜维修更换项目进行院内采购，欢迎广大符合条件的投标人踊跃投标。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42</w:t>
      </w:r>
    </w:p>
    <w:p>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西陵院区1号楼配电室发电机房双电源切换柜维修更换项目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w:t>
      </w:r>
      <w:r>
        <w:rPr>
          <w:rFonts w:hint="eastAsia"/>
          <w:color w:val="FF0000"/>
          <w:sz w:val="28"/>
          <w:szCs w:val="28"/>
          <w:lang w:val="en-US" w:eastAsia="zh-CN"/>
        </w:rPr>
        <w:t>09</w:t>
      </w:r>
      <w:r>
        <w:rPr>
          <w:color w:val="FF0000"/>
          <w:sz w:val="28"/>
          <w:szCs w:val="28"/>
        </w:rPr>
        <w:t>:30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numPr>
          <w:ilvl w:val="0"/>
          <w:numId w:val="1"/>
        </w:numPr>
        <w:shd w:val="clear" w:color="auto" w:fill="FFFFFF"/>
        <w:spacing w:before="0" w:beforeAutospacing="0" w:after="0" w:afterAutospacing="0"/>
        <w:ind w:firstLine="560" w:firstLineChars="200"/>
        <w:rPr>
          <w:rFonts w:hint="eastAsia"/>
          <w:sz w:val="28"/>
          <w:szCs w:val="28"/>
          <w:u w:val="single"/>
        </w:rPr>
      </w:pP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numPr>
          <w:numId w:val="0"/>
        </w:numPr>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42</w:t>
      </w:r>
    </w:p>
    <w:p>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宜昌市中心人民医院西陵院区1号楼配电室发电机房双电源切换柜维修更换项目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5</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hint="eastAsia"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5、供应商须具备具备原国家电力监管委员会或国家能源局核发的承装（修、试）电力设施许可证，其中承装、承修、承试为肆级及以上资质。提供有效证件原件扫描件。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pPr>
        <w:widowControl/>
        <w:spacing w:line="500" w:lineRule="exact"/>
        <w:ind w:firstLine="840" w:firstLineChars="300"/>
        <w:jc w:val="left"/>
        <w:rPr>
          <w:rFonts w:hint="eastAsia" w:ascii="宋体" w:hAnsi="宋体" w:eastAsia="宋体" w:cs="宋体"/>
          <w:sz w:val="28"/>
          <w:szCs w:val="28"/>
        </w:rPr>
      </w:pPr>
      <w:r>
        <w:rPr>
          <w:rFonts w:hint="eastAsia" w:ascii="宋体" w:hAnsi="宋体" w:eastAsia="宋体" w:cs="宋体"/>
          <w:sz w:val="28"/>
          <w:szCs w:val="28"/>
        </w:rPr>
        <w:t>宜昌市中心人民医院西陵院区1#楼配电室对应急电源进线开关柜（市电及发电机无间隙转换开关柜）进行维修</w:t>
      </w:r>
      <w:r>
        <w:rPr>
          <w:rFonts w:hint="eastAsia" w:ascii="宋体" w:hAnsi="宋体" w:cs="宋体"/>
          <w:sz w:val="28"/>
          <w:szCs w:val="28"/>
          <w:lang w:val="en-US" w:eastAsia="zh-CN"/>
        </w:rPr>
        <w:t>更换</w:t>
      </w:r>
      <w:r>
        <w:rPr>
          <w:rFonts w:hint="eastAsia" w:ascii="宋体" w:hAnsi="宋体" w:eastAsia="宋体" w:cs="宋体"/>
          <w:sz w:val="28"/>
          <w:szCs w:val="28"/>
        </w:rPr>
        <w:t>。</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8506" w:type="dxa"/>
        <w:tblInd w:w="-34" w:type="dxa"/>
        <w:tblLayout w:type="fixed"/>
        <w:tblCellMar>
          <w:top w:w="0" w:type="dxa"/>
          <w:left w:w="108" w:type="dxa"/>
          <w:bottom w:w="0" w:type="dxa"/>
          <w:right w:w="108" w:type="dxa"/>
        </w:tblCellMar>
      </w:tblPr>
      <w:tblGrid>
        <w:gridCol w:w="851"/>
        <w:gridCol w:w="1517"/>
        <w:gridCol w:w="1410"/>
        <w:gridCol w:w="1035"/>
        <w:gridCol w:w="3693"/>
      </w:tblGrid>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序号</w:t>
            </w:r>
          </w:p>
        </w:tc>
        <w:tc>
          <w:tcPr>
            <w:tcW w:w="151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货物/服务名称</w:t>
            </w:r>
          </w:p>
        </w:tc>
        <w:tc>
          <w:tcPr>
            <w:tcW w:w="14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单位</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数量</w:t>
            </w:r>
          </w:p>
        </w:tc>
        <w:tc>
          <w:tcPr>
            <w:tcW w:w="369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备注</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1</w:t>
            </w:r>
          </w:p>
        </w:tc>
        <w:tc>
          <w:tcPr>
            <w:tcW w:w="151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双电源自动转换系统</w:t>
            </w:r>
          </w:p>
        </w:tc>
        <w:tc>
          <w:tcPr>
            <w:tcW w:w="141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套</w:t>
            </w:r>
          </w:p>
        </w:tc>
        <w:tc>
          <w:tcPr>
            <w:tcW w:w="1035"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int="eastAsia" w:hAnsi="宋体" w:eastAsia="宋体"/>
                <w:spacing w:val="2"/>
                <w:lang w:eastAsia="zh-CN"/>
              </w:rPr>
            </w:pPr>
            <w:r>
              <w:rPr>
                <w:rFonts w:hint="eastAsia" w:hAnsi="宋体" w:cs="Courier New"/>
                <w:spacing w:val="2"/>
                <w:sz w:val="24"/>
                <w:szCs w:val="24"/>
              </w:rPr>
              <w:t>1</w:t>
            </w:r>
          </w:p>
        </w:tc>
        <w:tc>
          <w:tcPr>
            <w:tcW w:w="3693" w:type="dxa"/>
            <w:tcBorders>
              <w:top w:val="nil"/>
              <w:left w:val="nil"/>
              <w:bottom w:val="single" w:color="auto" w:sz="4" w:space="0"/>
              <w:right w:val="single" w:color="auto" w:sz="4" w:space="0"/>
            </w:tcBorders>
            <w:shd w:val="clear" w:color="auto" w:fill="auto"/>
            <w:vAlign w:val="center"/>
          </w:tcPr>
          <w:p>
            <w:pPr>
              <w:pStyle w:val="5"/>
              <w:numPr>
                <w:ilvl w:val="0"/>
                <w:numId w:val="0"/>
              </w:numPr>
              <w:tabs>
                <w:tab w:val="left" w:pos="3300"/>
                <w:tab w:val="left" w:pos="3630"/>
              </w:tabs>
              <w:ind w:left="360" w:leftChars="0" w:hanging="360" w:firstLineChars="0"/>
              <w:jc w:val="left"/>
              <w:textAlignment w:val="baseline"/>
              <w:rPr>
                <w:rFonts w:hint="eastAsia"/>
                <w:sz w:val="24"/>
                <w:szCs w:val="24"/>
              </w:rPr>
            </w:pPr>
            <w:r>
              <w:rPr>
                <w:rFonts w:hint="default" w:ascii="宋体" w:hAnsi="宋体" w:eastAsia="宋体" w:cs="Courier New"/>
                <w:kern w:val="2"/>
                <w:sz w:val="24"/>
                <w:szCs w:val="24"/>
                <w:lang w:val="en-US" w:eastAsia="zh-CN" w:bidi="ar-SA"/>
              </w:rPr>
              <w:t>1.</w:t>
            </w:r>
            <w:r>
              <w:rPr>
                <w:rFonts w:hint="eastAsia"/>
                <w:sz w:val="24"/>
                <w:szCs w:val="24"/>
              </w:rPr>
              <w:t>该柜为院内一类重要负荷供电，为保证与市电/发电机电源侧断路器控制信号使用的安全性和操作维护方便，断路器必须选用原厂原型号升级版，双电源系统。</w:t>
            </w:r>
          </w:p>
          <w:p>
            <w:pPr>
              <w:pStyle w:val="5"/>
              <w:numPr>
                <w:ilvl w:val="0"/>
                <w:numId w:val="0"/>
              </w:numPr>
              <w:tabs>
                <w:tab w:val="left" w:pos="3300"/>
                <w:tab w:val="left" w:pos="3630"/>
              </w:tabs>
              <w:ind w:left="360" w:leftChars="0" w:hanging="360" w:firstLineChars="0"/>
              <w:jc w:val="left"/>
              <w:textAlignment w:val="baseline"/>
              <w:rPr>
                <w:rFonts w:hAnsi="宋体" w:cs="Courier New"/>
                <w:spacing w:val="2"/>
                <w:sz w:val="24"/>
                <w:szCs w:val="24"/>
              </w:rPr>
            </w:pPr>
            <w:r>
              <w:rPr>
                <w:rFonts w:hint="default" w:ascii="宋体" w:hAnsi="宋体" w:eastAsia="宋体" w:cs="Courier New"/>
                <w:spacing w:val="2"/>
                <w:kern w:val="2"/>
                <w:sz w:val="24"/>
                <w:szCs w:val="24"/>
                <w:lang w:val="en-US" w:eastAsia="zh-CN" w:bidi="ar-SA"/>
              </w:rPr>
              <w:t>2.</w:t>
            </w:r>
            <w:r>
              <w:rPr>
                <w:rFonts w:hint="eastAsia"/>
                <w:sz w:val="24"/>
                <w:szCs w:val="24"/>
              </w:rPr>
              <w:t>为减少成本，缩短改造时间，尽量保留原铜排，原柜体，不做大改动。</w:t>
            </w:r>
          </w:p>
          <w:p>
            <w:pPr>
              <w:pStyle w:val="5"/>
              <w:tabs>
                <w:tab w:val="left" w:pos="3300"/>
                <w:tab w:val="left" w:pos="3630"/>
              </w:tabs>
              <w:jc w:val="left"/>
              <w:textAlignment w:val="baseline"/>
              <w:rPr>
                <w:rFonts w:hAnsi="宋体"/>
                <w:spacing w:val="2"/>
              </w:rPr>
            </w:pPr>
            <w:r>
              <w:rPr>
                <w:rFonts w:hint="eastAsia" w:hAnsi="宋体" w:cs="Courier New"/>
                <w:spacing w:val="2"/>
                <w:sz w:val="24"/>
                <w:szCs w:val="24"/>
              </w:rPr>
              <w:t>3.对现开关柜（GCS柜型）的双电源断路器拆旧换新改造施工（含一次、二次设备等改造）。</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int="eastAsia" w:hAnsi="宋体"/>
                <w:spacing w:val="2"/>
              </w:rPr>
            </w:pPr>
            <w:r>
              <w:rPr>
                <w:rFonts w:hint="eastAsia" w:hAnsi="宋体" w:cs="Courier New"/>
                <w:spacing w:val="2"/>
                <w:sz w:val="24"/>
                <w:szCs w:val="24"/>
              </w:rPr>
              <w:t>2</w:t>
            </w:r>
          </w:p>
        </w:tc>
        <w:tc>
          <w:tcPr>
            <w:tcW w:w="151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宋体"/>
                <w:bCs/>
                <w:kern w:val="0"/>
                <w:sz w:val="24"/>
                <w:szCs w:val="24"/>
              </w:rPr>
              <w:t>电线</w:t>
            </w:r>
          </w:p>
        </w:tc>
        <w:tc>
          <w:tcPr>
            <w:tcW w:w="141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卷</w:t>
            </w:r>
          </w:p>
        </w:tc>
        <w:tc>
          <w:tcPr>
            <w:tcW w:w="1035"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3</w:t>
            </w:r>
          </w:p>
        </w:tc>
        <w:tc>
          <w:tcPr>
            <w:tcW w:w="3693"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jc w:val="left"/>
              <w:textAlignment w:val="baseline"/>
              <w:rPr>
                <w:rFonts w:hAnsi="宋体" w:cs="Courier New"/>
                <w:spacing w:val="2"/>
                <w:sz w:val="24"/>
                <w:szCs w:val="24"/>
              </w:rPr>
            </w:pPr>
            <w:r>
              <w:rPr>
                <w:rFonts w:hint="eastAsia" w:hAnsi="宋体" w:cs="Courier New"/>
                <w:spacing w:val="2"/>
                <w:sz w:val="24"/>
                <w:szCs w:val="24"/>
              </w:rPr>
              <w:t>1.型号为BVR1.5 2.5mm</w:t>
            </w:r>
            <w:r>
              <w:rPr>
                <w:rFonts w:hint="eastAsia" w:hAnsi="宋体" w:cs="Courier New"/>
                <w:spacing w:val="2"/>
                <w:sz w:val="36"/>
                <w:szCs w:val="36"/>
                <w:vertAlign w:val="superscript"/>
              </w:rPr>
              <w:t>2</w:t>
            </w:r>
            <w:r>
              <w:rPr>
                <w:rFonts w:hint="eastAsia" w:hAnsi="宋体" w:cs="Courier New"/>
                <w:spacing w:val="2"/>
                <w:sz w:val="24"/>
                <w:szCs w:val="24"/>
              </w:rPr>
              <w:t>黑色；</w:t>
            </w:r>
          </w:p>
          <w:p>
            <w:pPr>
              <w:pStyle w:val="5"/>
              <w:tabs>
                <w:tab w:val="left" w:pos="3300"/>
                <w:tab w:val="left" w:pos="3630"/>
              </w:tabs>
              <w:jc w:val="left"/>
              <w:textAlignment w:val="baseline"/>
              <w:rPr>
                <w:rFonts w:hint="eastAsia" w:hAnsi="宋体"/>
                <w:spacing w:val="2"/>
              </w:rPr>
            </w:pPr>
            <w:r>
              <w:rPr>
                <w:rFonts w:hint="eastAsia" w:hAnsi="宋体" w:cs="Courier New"/>
                <w:spacing w:val="2"/>
                <w:sz w:val="24"/>
                <w:szCs w:val="24"/>
              </w:rPr>
              <w:t>2.含所有新增母线及原开关柜需要改造的二次线改造及调试。</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int="eastAsia" w:hAnsi="宋体"/>
                <w:spacing w:val="2"/>
              </w:rPr>
            </w:pPr>
            <w:r>
              <w:rPr>
                <w:rFonts w:hint="eastAsia" w:hAnsi="宋体" w:cs="Courier New"/>
                <w:spacing w:val="2"/>
                <w:sz w:val="24"/>
                <w:szCs w:val="24"/>
              </w:rPr>
              <w:t>3</w:t>
            </w:r>
          </w:p>
        </w:tc>
        <w:tc>
          <w:tcPr>
            <w:tcW w:w="151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宋体"/>
                <w:bCs/>
                <w:kern w:val="0"/>
                <w:sz w:val="24"/>
                <w:szCs w:val="24"/>
              </w:rPr>
              <w:t>技术服务</w:t>
            </w:r>
          </w:p>
        </w:tc>
        <w:tc>
          <w:tcPr>
            <w:tcW w:w="141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Ansi="宋体"/>
                <w:spacing w:val="2"/>
              </w:rPr>
            </w:pPr>
            <w:r>
              <w:rPr>
                <w:rFonts w:hint="eastAsia" w:hAnsi="宋体" w:cs="Courier New"/>
                <w:spacing w:val="2"/>
                <w:sz w:val="24"/>
                <w:szCs w:val="24"/>
              </w:rPr>
              <w:t>项</w:t>
            </w:r>
          </w:p>
        </w:tc>
        <w:tc>
          <w:tcPr>
            <w:tcW w:w="1035"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jc w:val="center"/>
              <w:textAlignment w:val="baseline"/>
              <w:rPr>
                <w:rFonts w:hint="default" w:hAnsi="宋体" w:eastAsia="宋体"/>
                <w:spacing w:val="2"/>
                <w:lang w:val="en-US" w:eastAsia="zh-CN"/>
              </w:rPr>
            </w:pPr>
            <w:r>
              <w:rPr>
                <w:rFonts w:hint="eastAsia" w:hAnsi="宋体" w:cs="Courier New"/>
                <w:spacing w:val="2"/>
                <w:sz w:val="24"/>
                <w:szCs w:val="24"/>
              </w:rPr>
              <w:t>1</w:t>
            </w:r>
          </w:p>
        </w:tc>
        <w:tc>
          <w:tcPr>
            <w:tcW w:w="3693"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jc w:val="left"/>
              <w:textAlignment w:val="baseline"/>
              <w:rPr>
                <w:rFonts w:hint="eastAsia" w:hAnsi="宋体"/>
                <w:spacing w:val="2"/>
              </w:rPr>
            </w:pPr>
            <w:r>
              <w:rPr>
                <w:rFonts w:hint="eastAsia" w:hAnsi="宋体" w:cs="Courier New"/>
                <w:spacing w:val="2"/>
                <w:sz w:val="24"/>
                <w:szCs w:val="24"/>
              </w:rPr>
              <w:t>1.对原市电电源开关柜、发电机控制箱的启停信号及运行方式进行改造；2.含信号电缆（KVVP22-4*2.5）等所有相关材料。</w:t>
            </w:r>
          </w:p>
        </w:tc>
      </w:tr>
    </w:tbl>
    <w:p>
      <w:pPr>
        <w:textAlignment w:val="baseline"/>
        <w:rPr>
          <w:rFonts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二</w:t>
      </w:r>
      <w:r>
        <w:rPr>
          <w:rFonts w:hint="eastAsia" w:ascii="宋体" w:hAnsi="宋体" w:eastAsia="宋体"/>
          <w:b/>
          <w:sz w:val="24"/>
          <w:szCs w:val="24"/>
          <w:lang w:eastAsia="zh-CN"/>
        </w:rPr>
        <w:t>）</w:t>
      </w:r>
      <w:r>
        <w:rPr>
          <w:rFonts w:hint="eastAsia" w:ascii="宋体" w:hAnsi="宋体" w:eastAsia="宋体"/>
          <w:b/>
          <w:sz w:val="24"/>
          <w:szCs w:val="24"/>
        </w:rPr>
        <w:t>通用技术要求</w:t>
      </w:r>
    </w:p>
    <w:tbl>
      <w:tblPr>
        <w:tblStyle w:val="1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60"/>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序号</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项目</w:t>
            </w:r>
          </w:p>
        </w:tc>
        <w:tc>
          <w:tcPr>
            <w:tcW w:w="6285" w:type="dxa"/>
          </w:tcPr>
          <w:p>
            <w:pPr>
              <w:spacing w:line="500" w:lineRule="exact"/>
              <w:textAlignment w:val="baseline"/>
              <w:rPr>
                <w:rFonts w:ascii="宋体" w:hAnsi="宋体" w:eastAsia="宋体"/>
                <w:sz w:val="24"/>
                <w:szCs w:val="24"/>
              </w:rPr>
            </w:pPr>
            <w:r>
              <w:rPr>
                <w:rFonts w:hint="eastAsia" w:ascii="宋体" w:hAnsi="宋体" w:eastAsia="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1</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额定电压</w:t>
            </w:r>
          </w:p>
        </w:tc>
        <w:tc>
          <w:tcPr>
            <w:tcW w:w="6285" w:type="dxa"/>
          </w:tcPr>
          <w:p>
            <w:pPr>
              <w:spacing w:line="500" w:lineRule="exact"/>
              <w:textAlignment w:val="baseline"/>
              <w:rPr>
                <w:rFonts w:ascii="宋体" w:hAnsi="宋体" w:eastAsia="宋体"/>
                <w:sz w:val="24"/>
                <w:szCs w:val="24"/>
              </w:rPr>
            </w:pPr>
            <w:r>
              <w:rPr>
                <w:rFonts w:hint="eastAsia" w:ascii="宋体" w:hAnsi="宋体" w:eastAsia="宋体"/>
                <w:bCs/>
                <w:sz w:val="24"/>
                <w:szCs w:val="24"/>
              </w:rPr>
              <w:t>400V</w:t>
            </w:r>
            <w:r>
              <w:rPr>
                <w:rFonts w:hint="eastAsia" w:ascii="宋体" w:hAnsi="宋体" w:eastAsia="宋体"/>
                <w:sz w:val="24"/>
                <w:szCs w:val="24"/>
              </w:rPr>
              <w:t>（</w:t>
            </w:r>
            <w:r>
              <w:rPr>
                <w:rFonts w:ascii="宋体" w:hAnsi="宋体" w:eastAsia="宋体"/>
                <w:sz w:val="24"/>
                <w:szCs w:val="24"/>
              </w:rPr>
              <w:t>AC</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2</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额定绝缘电压</w:t>
            </w:r>
          </w:p>
        </w:tc>
        <w:tc>
          <w:tcPr>
            <w:tcW w:w="6285" w:type="dxa"/>
          </w:tcPr>
          <w:p>
            <w:pPr>
              <w:spacing w:line="500" w:lineRule="exact"/>
              <w:textAlignment w:val="baseline"/>
              <w:rPr>
                <w:rFonts w:ascii="宋体" w:hAnsi="宋体" w:eastAsia="宋体"/>
                <w:sz w:val="24"/>
                <w:szCs w:val="24"/>
              </w:rPr>
            </w:pPr>
            <w:r>
              <w:rPr>
                <w:rFonts w:ascii="宋体" w:hAnsi="宋体" w:eastAsia="宋体"/>
                <w:sz w:val="24"/>
                <w:szCs w:val="24"/>
              </w:rPr>
              <w:t>1000V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3</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额定频率</w:t>
            </w:r>
          </w:p>
        </w:tc>
        <w:tc>
          <w:tcPr>
            <w:tcW w:w="6285" w:type="dxa"/>
          </w:tcPr>
          <w:p>
            <w:pPr>
              <w:spacing w:line="500" w:lineRule="exact"/>
              <w:textAlignment w:val="baseline"/>
              <w:rPr>
                <w:rFonts w:ascii="宋体" w:hAnsi="宋体" w:eastAsia="宋体"/>
                <w:sz w:val="24"/>
                <w:szCs w:val="24"/>
              </w:rPr>
            </w:pPr>
            <w:r>
              <w:rPr>
                <w:rFonts w:ascii="宋体" w:hAnsi="宋体" w:eastAsia="宋体"/>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4</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绝缘电阻</w:t>
            </w:r>
          </w:p>
        </w:tc>
        <w:tc>
          <w:tcPr>
            <w:tcW w:w="6285" w:type="dxa"/>
          </w:tcPr>
          <w:p>
            <w:pPr>
              <w:spacing w:line="500" w:lineRule="exact"/>
              <w:textAlignment w:val="baseline"/>
              <w:rPr>
                <w:rFonts w:ascii="宋体" w:hAnsi="宋体" w:eastAsia="宋体"/>
                <w:sz w:val="24"/>
                <w:szCs w:val="24"/>
              </w:rPr>
            </w:pPr>
            <w:r>
              <w:rPr>
                <w:rFonts w:hint="eastAsia" w:ascii="宋体" w:hAnsi="宋体" w:eastAsia="宋体"/>
                <w:bCs/>
                <w:sz w:val="24"/>
                <w:szCs w:val="24"/>
              </w:rPr>
              <w:t>开关柜每相母线及母线槽的相间、相地绝缘电阻均应≥20M</w:t>
            </w:r>
            <w:r>
              <w:rPr>
                <w:rFonts w:ascii="宋体" w:hAnsi="宋体" w:eastAsia="宋体"/>
                <w:bCs/>
                <w:sz w:val="24"/>
                <w:szCs w:val="24"/>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5</w:t>
            </w:r>
          </w:p>
        </w:tc>
        <w:tc>
          <w:tcPr>
            <w:tcW w:w="1860" w:type="dxa"/>
          </w:tcPr>
          <w:p>
            <w:pPr>
              <w:spacing w:line="500" w:lineRule="exact"/>
              <w:textAlignment w:val="baseline"/>
              <w:rPr>
                <w:rFonts w:ascii="宋体" w:hAnsi="宋体" w:eastAsia="宋体"/>
                <w:sz w:val="24"/>
                <w:szCs w:val="24"/>
              </w:rPr>
            </w:pPr>
            <w:r>
              <w:rPr>
                <w:rFonts w:hint="eastAsia" w:ascii="宋体" w:hAnsi="宋体" w:eastAsia="宋体"/>
                <w:sz w:val="24"/>
                <w:szCs w:val="24"/>
              </w:rPr>
              <w:t>工频耐压</w:t>
            </w:r>
          </w:p>
        </w:tc>
        <w:tc>
          <w:tcPr>
            <w:tcW w:w="6285" w:type="dxa"/>
          </w:tcPr>
          <w:p>
            <w:pPr>
              <w:spacing w:line="500" w:lineRule="exact"/>
              <w:textAlignment w:val="baseline"/>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00V</w:t>
            </w:r>
            <w:r>
              <w:rPr>
                <w:rFonts w:hint="eastAsia" w:ascii="宋体" w:hAnsi="宋体" w:eastAsia="宋体"/>
                <w:sz w:val="24"/>
                <w:szCs w:val="24"/>
              </w:rPr>
              <w:t>a</w:t>
            </w:r>
            <w:r>
              <w:rPr>
                <w:rFonts w:ascii="宋体" w:hAnsi="宋体" w:eastAsia="宋体"/>
                <w:sz w:val="24"/>
                <w:szCs w:val="24"/>
              </w:rPr>
              <w:t>c/1min</w:t>
            </w:r>
            <w:r>
              <w:rPr>
                <w:rFonts w:hint="eastAsia" w:ascii="宋体" w:hAnsi="宋体" w:eastAsia="宋体"/>
                <w:sz w:val="24"/>
                <w:szCs w:val="24"/>
              </w:rPr>
              <w:t>，无击穿闪络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03" w:type="dxa"/>
          </w:tcPr>
          <w:p>
            <w:pPr>
              <w:spacing w:line="500" w:lineRule="exact"/>
              <w:textAlignment w:val="baseline"/>
              <w:rPr>
                <w:rFonts w:ascii="宋体" w:hAnsi="宋体" w:eastAsia="宋体"/>
                <w:sz w:val="24"/>
                <w:szCs w:val="24"/>
              </w:rPr>
            </w:pPr>
            <w:r>
              <w:rPr>
                <w:rFonts w:hint="eastAsia" w:ascii="宋体" w:hAnsi="宋体" w:eastAsia="宋体"/>
                <w:sz w:val="24"/>
                <w:szCs w:val="24"/>
              </w:rPr>
              <w:t>6</w:t>
            </w:r>
          </w:p>
        </w:tc>
        <w:tc>
          <w:tcPr>
            <w:tcW w:w="1860" w:type="dxa"/>
          </w:tcPr>
          <w:p>
            <w:pPr>
              <w:spacing w:line="500" w:lineRule="exact"/>
              <w:textAlignment w:val="baseline"/>
              <w:rPr>
                <w:rFonts w:ascii="宋体" w:hAnsi="宋体" w:eastAsia="宋体" w:cs="宋体"/>
                <w:kern w:val="0"/>
                <w:sz w:val="24"/>
                <w:szCs w:val="24"/>
              </w:rPr>
            </w:pPr>
            <w:r>
              <w:rPr>
                <w:rFonts w:hint="eastAsia" w:eastAsia="宋体"/>
                <w:sz w:val="24"/>
                <w:szCs w:val="24"/>
              </w:rPr>
              <w:t>短路强度</w:t>
            </w:r>
          </w:p>
          <w:p>
            <w:pPr>
              <w:spacing w:line="500" w:lineRule="exact"/>
              <w:textAlignment w:val="baseline"/>
              <w:rPr>
                <w:rFonts w:ascii="宋体" w:hAnsi="宋体" w:eastAsia="宋体"/>
                <w:sz w:val="24"/>
                <w:szCs w:val="24"/>
              </w:rPr>
            </w:pPr>
          </w:p>
        </w:tc>
        <w:tc>
          <w:tcPr>
            <w:tcW w:w="6285" w:type="dxa"/>
          </w:tcPr>
          <w:p>
            <w:pPr>
              <w:spacing w:line="500" w:lineRule="exact"/>
              <w:textAlignment w:val="baseline"/>
              <w:rPr>
                <w:rFonts w:ascii="宋体" w:hAnsi="宋体" w:eastAsia="宋体"/>
                <w:sz w:val="24"/>
                <w:szCs w:val="24"/>
              </w:rPr>
            </w:pPr>
            <w:r>
              <w:rPr>
                <w:rFonts w:hint="eastAsia" w:eastAsia="宋体"/>
                <w:sz w:val="24"/>
                <w:szCs w:val="24"/>
              </w:rPr>
              <w:t>能承受国家规定的额定短时耐受电流和额定峰值电流，断路器电气分断能力Ics=Icu</w:t>
            </w:r>
            <w:r>
              <w:rPr>
                <w:rFonts w:hint="eastAsia" w:ascii="宋体" w:hAnsi="宋体" w:eastAsia="宋体"/>
                <w:sz w:val="24"/>
                <w:szCs w:val="24"/>
              </w:rPr>
              <w:t>≥100</w:t>
            </w:r>
            <w:r>
              <w:rPr>
                <w:rFonts w:ascii="宋体" w:hAnsi="宋体" w:eastAsia="宋体"/>
                <w:sz w:val="24"/>
                <w:szCs w:val="24"/>
              </w:rPr>
              <w:t>KA</w:t>
            </w:r>
          </w:p>
        </w:tc>
      </w:tr>
    </w:tbl>
    <w:p>
      <w:pPr>
        <w:spacing w:line="500" w:lineRule="exact"/>
        <w:textAlignment w:val="baseline"/>
        <w:rPr>
          <w:rFonts w:ascii="宋体" w:hAnsi="宋体" w:eastAsia="宋体"/>
          <w:b/>
          <w:sz w:val="24"/>
          <w:szCs w:val="24"/>
        </w:rPr>
      </w:pPr>
      <w:r>
        <w:rPr>
          <w:rFonts w:hint="eastAsia" w:ascii="宋体" w:hAnsi="宋体"/>
          <w:b/>
          <w:sz w:val="28"/>
          <w:szCs w:val="28"/>
          <w:lang w:eastAsia="zh-CN"/>
        </w:rPr>
        <w:t>（</w:t>
      </w:r>
      <w:r>
        <w:rPr>
          <w:rFonts w:hint="eastAsia" w:ascii="宋体" w:hAnsi="宋体"/>
          <w:b/>
          <w:sz w:val="28"/>
          <w:szCs w:val="28"/>
          <w:lang w:val="en-US" w:eastAsia="zh-CN"/>
        </w:rPr>
        <w:t>三</w:t>
      </w:r>
      <w:r>
        <w:rPr>
          <w:rFonts w:hint="eastAsia" w:ascii="宋体" w:hAnsi="宋体"/>
          <w:b/>
          <w:sz w:val="28"/>
          <w:szCs w:val="28"/>
          <w:lang w:eastAsia="zh-CN"/>
        </w:rPr>
        <w:t>）</w:t>
      </w:r>
      <w:r>
        <w:rPr>
          <w:rFonts w:hint="eastAsia" w:ascii="宋体" w:hAnsi="宋体" w:eastAsia="宋体"/>
          <w:b/>
          <w:sz w:val="24"/>
          <w:szCs w:val="24"/>
        </w:rPr>
        <w:t>专项技术要求</w:t>
      </w:r>
    </w:p>
    <w:p>
      <w:pPr>
        <w:widowControl/>
        <w:spacing w:line="500" w:lineRule="exact"/>
        <w:ind w:firstLine="560" w:firstLineChars="200"/>
        <w:jc w:val="left"/>
        <w:textAlignment w:val="baseline"/>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1.双电源自动转换设备应具备</w:t>
      </w:r>
      <w:r>
        <w:rPr>
          <w:rFonts w:hint="eastAsia" w:cs="宋体" w:asciiTheme="minorEastAsia" w:hAnsiTheme="minorEastAsia" w:eastAsiaTheme="minorEastAsia"/>
          <w:color w:val="231F20"/>
          <w:kern w:val="0"/>
          <w:sz w:val="28"/>
          <w:szCs w:val="28"/>
        </w:rPr>
        <w:t>自投自复、自投不自复、互为备用三种工作方式现场可调功能。主供电源接入市电，备供电源由发电机提供</w:t>
      </w:r>
      <w:r>
        <w:rPr>
          <w:rFonts w:hint="eastAsia" w:cs="宋体" w:asciiTheme="minorEastAsia" w:hAnsiTheme="minorEastAsia" w:eastAsiaTheme="minorEastAsia"/>
          <w:bCs/>
          <w:sz w:val="28"/>
          <w:szCs w:val="28"/>
        </w:rPr>
        <w:t>（主要运行方式为自投自复：市电停电时发电机自启，备供电源无间隙合闸送电；市电恢复送电后，发电机自动停机，主供电源无间隙合闸送电）；双电源自动转换设备</w:t>
      </w:r>
      <w:r>
        <w:rPr>
          <w:rFonts w:hint="eastAsia" w:cs="宋体" w:asciiTheme="minorEastAsia" w:hAnsiTheme="minorEastAsia" w:eastAsiaTheme="minorEastAsia"/>
          <w:color w:val="231F20"/>
          <w:kern w:val="0"/>
          <w:sz w:val="28"/>
          <w:szCs w:val="28"/>
        </w:rPr>
        <w:t>具备高分断能力 ，使用分断能力等于100%极限分断能力,</w:t>
      </w:r>
      <w:r>
        <w:rPr>
          <w:rFonts w:hint="eastAsia" w:asciiTheme="minorEastAsia" w:hAnsiTheme="minorEastAsia" w:eastAsiaTheme="minorEastAsia"/>
          <w:sz w:val="28"/>
          <w:szCs w:val="28"/>
        </w:rPr>
        <w:t>Ics=Icu≥100</w:t>
      </w:r>
      <w:r>
        <w:rPr>
          <w:rFonts w:asciiTheme="minorEastAsia" w:hAnsiTheme="minorEastAsia" w:eastAsiaTheme="minorEastAsia"/>
          <w:sz w:val="28"/>
          <w:szCs w:val="28"/>
        </w:rPr>
        <w:t>KA</w:t>
      </w:r>
      <w:r>
        <w:rPr>
          <w:rFonts w:hint="eastAsia" w:asciiTheme="minorEastAsia" w:hAnsiTheme="minorEastAsia" w:eastAsiaTheme="minorEastAsia"/>
          <w:sz w:val="28"/>
          <w:szCs w:val="28"/>
        </w:rPr>
        <w:t>；</w:t>
      </w:r>
      <w:r>
        <w:rPr>
          <w:rFonts w:hint="eastAsia" w:cs="宋体" w:asciiTheme="minorEastAsia" w:hAnsiTheme="minorEastAsia" w:eastAsiaTheme="minorEastAsia"/>
          <w:bCs/>
          <w:sz w:val="28"/>
          <w:szCs w:val="28"/>
        </w:rPr>
        <w:t>双电源自动转换设备</w:t>
      </w:r>
      <w:r>
        <w:rPr>
          <w:rFonts w:hint="eastAsia" w:cs="宋体" w:asciiTheme="minorEastAsia" w:hAnsiTheme="minorEastAsia" w:eastAsiaTheme="minorEastAsia"/>
          <w:color w:val="231F20"/>
          <w:kern w:val="0"/>
          <w:sz w:val="28"/>
          <w:szCs w:val="28"/>
        </w:rPr>
        <w:t>有错接相序报警 ，转换不成功信号自切断功能；机械寿命≥10000次，电气寿命≥4000次；</w:t>
      </w:r>
      <w:r>
        <w:rPr>
          <w:rFonts w:hint="eastAsia" w:cs="宋体" w:asciiTheme="minorEastAsia" w:hAnsiTheme="minorEastAsia" w:eastAsiaTheme="minorEastAsia"/>
          <w:bCs/>
          <w:sz w:val="28"/>
          <w:szCs w:val="28"/>
        </w:rPr>
        <w:t>双电源自动转换设备</w:t>
      </w:r>
      <w:r>
        <w:rPr>
          <w:rFonts w:hint="eastAsia" w:cs="宋体" w:asciiTheme="minorEastAsia" w:hAnsiTheme="minorEastAsia" w:eastAsiaTheme="minorEastAsia"/>
          <w:color w:val="231F20"/>
          <w:kern w:val="0"/>
          <w:sz w:val="28"/>
          <w:szCs w:val="28"/>
        </w:rPr>
        <w:t>配置要求:额定电流2500A，3P,应同时具有配电及发电保护功能。</w:t>
      </w:r>
      <w:r>
        <w:rPr>
          <w:rFonts w:cs="宋体" w:asciiTheme="minorEastAsia" w:hAnsiTheme="minorEastAsia" w:eastAsiaTheme="minorEastAsia"/>
          <w:sz w:val="28"/>
          <w:szCs w:val="28"/>
        </w:rPr>
        <w:t>可</w:t>
      </w:r>
      <w:r>
        <w:rPr>
          <w:rFonts w:hint="eastAsia" w:cs="宋体" w:asciiTheme="minorEastAsia" w:hAnsiTheme="minorEastAsia" w:eastAsiaTheme="minorEastAsia"/>
          <w:sz w:val="28"/>
          <w:szCs w:val="28"/>
        </w:rPr>
        <w:t>给配电/发电电源</w:t>
      </w:r>
      <w:r>
        <w:rPr>
          <w:rFonts w:cs="宋体" w:asciiTheme="minorEastAsia" w:hAnsiTheme="minorEastAsia" w:eastAsiaTheme="minorEastAsia"/>
          <w:sz w:val="28"/>
          <w:szCs w:val="28"/>
        </w:rPr>
        <w:t>提供</w:t>
      </w:r>
      <w:r>
        <w:rPr>
          <w:rFonts w:hint="eastAsia" w:cs="宋体" w:asciiTheme="minorEastAsia" w:hAnsiTheme="minorEastAsia" w:eastAsiaTheme="minorEastAsia"/>
          <w:sz w:val="28"/>
          <w:szCs w:val="28"/>
        </w:rPr>
        <w:t>保护，</w:t>
      </w:r>
      <w:r>
        <w:rPr>
          <w:rFonts w:cs="宋体" w:asciiTheme="minorEastAsia" w:hAnsiTheme="minorEastAsia" w:eastAsiaTheme="minorEastAsia"/>
          <w:sz w:val="28"/>
          <w:szCs w:val="28"/>
        </w:rPr>
        <w:t>可提供测量、报警和通信功能。</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2.开关柜柜门上设置常用/备用电源指示灯及常用/备用合闸指示灯各1组；市电电源及发动机电源侧应配置有数显表各一块，2500/5A互感器6只,显示电流、电压、正反向有功功率、无功功率、谐波、频率、</w:t>
      </w:r>
      <w:r>
        <w:rPr>
          <w:rFonts w:hint="eastAsia" w:asciiTheme="minorEastAsia" w:hAnsiTheme="minorEastAsia" w:eastAsiaTheme="minorEastAsia"/>
          <w:sz w:val="28"/>
          <w:szCs w:val="28"/>
        </w:rPr>
        <w:t>不平衡电压/电流</w:t>
      </w:r>
      <w:r>
        <w:rPr>
          <w:rFonts w:hint="eastAsia" w:cs="宋体" w:asciiTheme="minorEastAsia" w:hAnsiTheme="minorEastAsia" w:eastAsiaTheme="minorEastAsia"/>
          <w:bCs/>
          <w:sz w:val="28"/>
          <w:szCs w:val="28"/>
        </w:rPr>
        <w:t>等参数，</w:t>
      </w:r>
      <w:r>
        <w:rPr>
          <w:rFonts w:hint="eastAsia" w:asciiTheme="minorEastAsia" w:hAnsiTheme="minorEastAsia" w:eastAsiaTheme="minorEastAsia"/>
          <w:sz w:val="28"/>
          <w:szCs w:val="28"/>
        </w:rPr>
        <w:t>提供串行异步半工RS485通讯接口，采用Modbus-RTU协议，各种数据信息均可在通讯线路上传送</w:t>
      </w:r>
      <w:r>
        <w:rPr>
          <w:rFonts w:hint="eastAsia" w:cs="宋体" w:asciiTheme="minorEastAsia" w:hAnsiTheme="minorEastAsia" w:eastAsiaTheme="minorEastAsia"/>
          <w:bCs/>
          <w:sz w:val="28"/>
          <w:szCs w:val="28"/>
        </w:rPr>
        <w:t>。</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3.柜内导电裸露处应有相色标识及防触电绝缘（绝缘防护大于等于1KV）措施。</w:t>
      </w:r>
    </w:p>
    <w:p>
      <w:pPr>
        <w:spacing w:line="500" w:lineRule="exact"/>
        <w:ind w:firstLine="560" w:firstLineChars="200"/>
        <w:jc w:val="left"/>
        <w:textAlignment w:val="baselin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4.本项目工作包含给开关柜提供市电电源的上级开关柜（GCS柜型）进行改造、双电源开关柜改造和控制系统的现场改造制作安装等，其标准化要求应满足电力设备安装的相关规定。</w:t>
      </w:r>
    </w:p>
    <w:p>
      <w:pPr>
        <w:spacing w:line="500" w:lineRule="exact"/>
        <w:ind w:firstLine="560" w:firstLineChars="200"/>
        <w:jc w:val="left"/>
        <w:textAlignment w:val="baseline"/>
        <w:rPr>
          <w:rFonts w:hint="eastAsia" w:ascii="宋体" w:hAnsi="宋体" w:eastAsia="宋体"/>
          <w:b/>
          <w:sz w:val="28"/>
          <w:szCs w:val="28"/>
          <w:lang w:eastAsia="zh-CN"/>
        </w:rPr>
      </w:pPr>
      <w:r>
        <w:rPr>
          <w:rFonts w:hint="eastAsia" w:cs="宋体" w:asciiTheme="minorEastAsia" w:hAnsiTheme="minorEastAsia" w:eastAsiaTheme="minorEastAsia"/>
          <w:bCs/>
          <w:sz w:val="28"/>
          <w:szCs w:val="28"/>
        </w:rPr>
        <w:t>5.本项目</w:t>
      </w:r>
      <w:r>
        <w:rPr>
          <w:rFonts w:hint="eastAsia" w:cs="宋体" w:asciiTheme="minorEastAsia" w:hAnsiTheme="minorEastAsia" w:eastAsiaTheme="minorEastAsia"/>
          <w:bCs/>
          <w:sz w:val="28"/>
          <w:szCs w:val="28"/>
          <w:lang w:val="en-US" w:eastAsia="zh-CN"/>
        </w:rPr>
        <w:t>为总价包干，实施过程中不在增加任何费用</w:t>
      </w:r>
      <w:r>
        <w:rPr>
          <w:rFonts w:hint="eastAsia" w:cs="宋体" w:asciiTheme="minorEastAsia" w:hAnsiTheme="minorEastAsia" w:eastAsiaTheme="minorEastAsia"/>
          <w:bCs/>
          <w:sz w:val="28"/>
          <w:szCs w:val="28"/>
        </w:rPr>
        <w:t>。施工时间原则上安排在夜间，具体的施工时间由采购方提前24小时通知中标方。</w:t>
      </w:r>
    </w:p>
    <w:p>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1、投标供应商</w:t>
      </w:r>
      <w:r>
        <w:rPr>
          <w:rFonts w:hint="eastAsia" w:ascii="宋体" w:hAnsi="宋体" w:cs="宋体"/>
          <w:kern w:val="0"/>
          <w:sz w:val="28"/>
          <w:szCs w:val="28"/>
          <w:lang w:val="en-US" w:eastAsia="zh-CN"/>
        </w:rPr>
        <w:t>提供产品为全新正品，不得提供假冒伪劣产品</w:t>
      </w:r>
      <w:r>
        <w:rPr>
          <w:rFonts w:hint="eastAsia" w:ascii="宋体" w:hAnsi="宋体" w:eastAsia="宋体" w:cs="宋体"/>
          <w:kern w:val="0"/>
          <w:sz w:val="28"/>
          <w:szCs w:val="28"/>
        </w:rPr>
        <w:t>。</w:t>
      </w:r>
    </w:p>
    <w:p>
      <w:pPr>
        <w:widowControl/>
        <w:spacing w:line="500" w:lineRule="exact"/>
        <w:ind w:firstLine="560" w:firstLineChars="200"/>
        <w:jc w:val="left"/>
        <w:rPr>
          <w:rFonts w:ascii="宋体" w:eastAsia="宋体" w:cs="Times New Roman"/>
          <w:bCs/>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10</w:t>
      </w:r>
      <w:r>
        <w:rPr>
          <w:rFonts w:hint="eastAsia" w:ascii="宋体" w:hAnsi="宋体" w:eastAsia="宋体" w:cs="宋体"/>
          <w:kern w:val="0"/>
          <w:sz w:val="28"/>
          <w:szCs w:val="28"/>
        </w:rPr>
        <w:t>个工作日内</w:t>
      </w:r>
      <w:r>
        <w:rPr>
          <w:rFonts w:hint="eastAsia" w:ascii="宋体" w:hAnsi="宋体" w:cs="宋体"/>
          <w:kern w:val="0"/>
          <w:sz w:val="28"/>
          <w:szCs w:val="28"/>
          <w:lang w:val="en-US" w:eastAsia="zh-CN"/>
        </w:rPr>
        <w:t>维修完毕</w:t>
      </w:r>
      <w:r>
        <w:rPr>
          <w:rFonts w:hint="eastAsia" w:ascii="宋体" w:hAnsi="宋体" w:eastAsia="宋体" w:cs="宋体"/>
          <w:kern w:val="0"/>
          <w:sz w:val="28"/>
          <w:szCs w:val="28"/>
        </w:rPr>
        <w:t>。</w:t>
      </w:r>
    </w:p>
    <w:p>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sz w:val="28"/>
          <w:szCs w:val="28"/>
          <w:lang w:val="en-US" w:eastAsia="zh-CN"/>
        </w:rPr>
        <w:t>对清单进行明细报价否则视为无效投标，</w:t>
      </w:r>
      <w:r>
        <w:rPr>
          <w:rFonts w:ascii="宋体" w:hAnsi="宋体" w:eastAsia="宋体"/>
          <w:sz w:val="28"/>
          <w:szCs w:val="28"/>
        </w:rPr>
        <w:t>报价包</w:t>
      </w:r>
      <w:r>
        <w:rPr>
          <w:rFonts w:hint="eastAsia" w:ascii="宋体" w:hAnsi="宋体" w:eastAsia="宋体"/>
          <w:sz w:val="28"/>
          <w:szCs w:val="28"/>
        </w:rPr>
        <w:t>含</w:t>
      </w:r>
      <w:r>
        <w:rPr>
          <w:rFonts w:hint="eastAsia" w:ascii="宋体" w:hAnsi="宋体"/>
          <w:sz w:val="28"/>
          <w:szCs w:val="28"/>
          <w:lang w:val="en-US" w:eastAsia="zh-CN"/>
        </w:rPr>
        <w:t>货物、运输、税费等</w:t>
      </w:r>
      <w:r>
        <w:rPr>
          <w:rFonts w:hint="eastAsia" w:ascii="宋体" w:hAnsi="宋体" w:eastAsia="宋体"/>
          <w:sz w:val="28"/>
          <w:szCs w:val="28"/>
        </w:rPr>
        <w:t>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pPr>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4、售后保修期：2年，更换的零部件出现质量问题无条件进行更换。</w:t>
      </w:r>
    </w:p>
    <w:p>
      <w:pPr>
        <w:widowControl/>
        <w:spacing w:line="500" w:lineRule="exact"/>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w:t>
      </w:r>
      <w:r>
        <w:rPr>
          <w:rFonts w:hint="eastAsia" w:ascii="宋体" w:cs="Times New Roman"/>
          <w:bCs/>
          <w:kern w:val="0"/>
          <w:sz w:val="28"/>
          <w:szCs w:val="28"/>
          <w:lang w:val="en-US" w:eastAsia="zh-CN"/>
        </w:rPr>
        <w:t>完成维修更换经采购人验收合格后</w:t>
      </w:r>
      <w:r>
        <w:rPr>
          <w:rFonts w:hint="eastAsia" w:ascii="宋体" w:eastAsia="宋体" w:cs="Times New Roman"/>
          <w:bCs/>
          <w:kern w:val="0"/>
          <w:sz w:val="28"/>
          <w:szCs w:val="28"/>
          <w:lang w:val="en-US" w:eastAsia="zh-CN"/>
        </w:rPr>
        <w:t>30个工作日内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至合同金额90%</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10</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eastAsia="宋体" w:cs="Times New Roman"/>
          <w:bCs/>
          <w:kern w:val="0"/>
          <w:sz w:val="28"/>
          <w:szCs w:val="28"/>
        </w:rPr>
        <w:t>一年</w:t>
      </w:r>
      <w:r>
        <w:rPr>
          <w:rFonts w:hint="eastAsia" w:ascii="宋体" w:cs="Times New Roman"/>
          <w:bCs/>
          <w:kern w:val="0"/>
          <w:sz w:val="28"/>
          <w:szCs w:val="28"/>
          <w:lang w:val="en-US" w:eastAsia="zh-CN"/>
        </w:rPr>
        <w:t>后</w:t>
      </w:r>
      <w:r>
        <w:rPr>
          <w:rFonts w:hint="eastAsia" w:ascii="宋体" w:eastAsia="宋体" w:cs="Times New Roman"/>
          <w:bCs/>
          <w:kern w:val="0"/>
          <w:sz w:val="28"/>
          <w:szCs w:val="28"/>
        </w:rPr>
        <w:t>无任何质量问题无息</w:t>
      </w:r>
      <w:r>
        <w:rPr>
          <w:rFonts w:hint="eastAsia" w:ascii="宋体" w:eastAsia="宋体" w:cs="Times New Roman"/>
          <w:bCs/>
          <w:kern w:val="0"/>
          <w:sz w:val="28"/>
          <w:szCs w:val="28"/>
          <w:lang w:val="en-US" w:eastAsia="zh-CN"/>
        </w:rPr>
        <w:t>支付，采用电汇方式结算，成交供应商提供正规增值税发票</w:t>
      </w:r>
      <w:r>
        <w:rPr>
          <w:rFonts w:hint="eastAsia" w:ascii="宋体" w:eastAsia="宋体" w:cs="Times New Roman"/>
          <w:bCs/>
          <w:kern w:val="0"/>
          <w:sz w:val="28"/>
          <w:szCs w:val="28"/>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w:t>
      </w:r>
      <w:r>
        <w:rPr>
          <w:rFonts w:hint="eastAsia" w:ascii="宋体" w:hAnsi="宋体"/>
          <w:kern w:val="0"/>
          <w:sz w:val="28"/>
          <w:szCs w:val="28"/>
        </w:rPr>
        <w:t>文件</w:t>
      </w:r>
      <w:r>
        <w:rPr>
          <w:rFonts w:hint="eastAsia"/>
          <w:sz w:val="28"/>
          <w:szCs w:val="28"/>
          <w:lang w:val="en-US" w:eastAsia="zh-CN"/>
        </w:rPr>
        <w:t>1正1副</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165"/>
      <w:bookmarkStart w:id="3" w:name="_Toc456291537"/>
      <w:bookmarkStart w:id="4" w:name="_Toc462487372"/>
      <w:bookmarkStart w:id="5" w:name="_Toc456291280"/>
      <w:bookmarkStart w:id="6" w:name="_Toc456291479"/>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116CF"/>
    <w:multiLevelType w:val="singleLevel"/>
    <w:tmpl w:val="660116C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262D55EC"/>
    <w:rsid w:val="53BC1C31"/>
    <w:rsid w:val="5F856FE6"/>
    <w:rsid w:val="675D0C07"/>
    <w:rsid w:val="6F6C3575"/>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4277</Words>
  <Characters>4670</Characters>
  <Lines>44</Lines>
  <Paragraphs>12</Paragraphs>
  <TotalTime>0</TotalTime>
  <ScaleCrop>false</ScaleCrop>
  <LinksUpToDate>false</LinksUpToDate>
  <CharactersWithSpaces>5463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2024-08-16T04:00:02Z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EE986F3A73164D738D42CF334CF6CE52_13</vt:lpwstr>
  </property>
</Properties>
</file>