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对宜昌市中心人民医院</w:t>
      </w:r>
      <w:r>
        <w:rPr>
          <w:rFonts w:hint="eastAsia"/>
          <w:sz w:val="28"/>
          <w:szCs w:val="28"/>
        </w:rPr>
        <w:t>西陵院区停车场围墙修建工程项目进行院内采购，欢迎广大符合条件的投标人踊跃投标。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53</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西陵院区停车场围墙修建工程项目</w:t>
      </w:r>
      <w:bookmarkEnd w:id="9"/>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14</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060828D1">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53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、项目名称：宜昌市中心人民医院西陵院区停车场围墙修建工程项目</w:t>
      </w:r>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9.15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资格性和符合性审查合格后，根据投标人的商务、技术、价格条件综合评审确定中标人</w:t>
      </w:r>
      <w:r>
        <w:rPr>
          <w:rFonts w:hint="eastAsia" w:ascii="宋体" w:hAnsi="宋体" w:cs="宋体"/>
          <w:b/>
          <w:kern w:val="0"/>
          <w:sz w:val="28"/>
          <w:szCs w:val="28"/>
          <w:lang w:eastAsia="zh-CN"/>
        </w:rPr>
        <w:t>。</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266B1CD5">
      <w:pPr>
        <w:widowControl/>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5、投标人须具备建设行政主管部门核发的建筑工程施工总承包三级及以上资质证书。（提供资质证书原件扫描件）</w:t>
      </w:r>
    </w:p>
    <w:p w14:paraId="4FC7CCE9">
      <w:pPr>
        <w:widowControl/>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6、具备住建部门颁发的有效的安全生产许可证。（提供资质证书原件扫描件）</w:t>
      </w:r>
    </w:p>
    <w:p w14:paraId="1155254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A3104EC">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bookmarkEnd w:id="0"/>
    <w:p w14:paraId="2DE0484B">
      <w:p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工程位于西陵区湖堤街4号，西陵院区停车场住院部1号楼旁围墙已进行拆除，考虑到医院安全及整体美观，拟在原拆除位置新修建围墙。</w:t>
      </w:r>
    </w:p>
    <w:p w14:paraId="3A758469">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3.2 工程量清单</w:t>
      </w:r>
    </w:p>
    <w:tbl>
      <w:tblPr>
        <w:tblStyle w:val="9"/>
        <w:tblW w:w="8364" w:type="dxa"/>
        <w:tblInd w:w="108" w:type="dxa"/>
        <w:tblLayout w:type="autofit"/>
        <w:tblCellMar>
          <w:top w:w="0" w:type="dxa"/>
          <w:left w:w="108" w:type="dxa"/>
          <w:bottom w:w="0" w:type="dxa"/>
          <w:right w:w="108" w:type="dxa"/>
        </w:tblCellMar>
      </w:tblPr>
      <w:tblGrid>
        <w:gridCol w:w="955"/>
        <w:gridCol w:w="1391"/>
        <w:gridCol w:w="954"/>
        <w:gridCol w:w="1395"/>
        <w:gridCol w:w="986"/>
        <w:gridCol w:w="986"/>
        <w:gridCol w:w="1697"/>
      </w:tblGrid>
      <w:tr w14:paraId="4446A08C">
        <w:tblPrEx>
          <w:tblCellMar>
            <w:top w:w="0" w:type="dxa"/>
            <w:left w:w="108" w:type="dxa"/>
            <w:bottom w:w="0" w:type="dxa"/>
            <w:right w:w="108" w:type="dxa"/>
          </w:tblCellMar>
        </w:tblPrEx>
        <w:trPr>
          <w:trHeight w:val="90" w:hRule="atLeast"/>
        </w:trPr>
        <w:tc>
          <w:tcPr>
            <w:tcW w:w="8364" w:type="dxa"/>
            <w:gridSpan w:val="7"/>
            <w:tcBorders>
              <w:top w:val="nil"/>
              <w:left w:val="nil"/>
              <w:bottom w:val="nil"/>
              <w:right w:val="nil"/>
            </w:tcBorders>
            <w:shd w:val="clear" w:color="auto" w:fill="auto"/>
            <w:noWrap/>
            <w:vAlign w:val="center"/>
          </w:tcPr>
          <w:p w14:paraId="36F8EA1D">
            <w:pPr>
              <w:widowControl/>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rPr>
              <w:t>工程量</w:t>
            </w:r>
            <w:r>
              <w:rPr>
                <w:rFonts w:hint="eastAsia" w:ascii="宋体" w:hAnsi="宋体" w:cs="宋体"/>
                <w:b/>
                <w:bCs/>
                <w:kern w:val="0"/>
                <w:sz w:val="22"/>
                <w:szCs w:val="22"/>
                <w:lang w:val="en-US" w:eastAsia="zh-CN"/>
              </w:rPr>
              <w:t>清单</w:t>
            </w:r>
          </w:p>
        </w:tc>
      </w:tr>
      <w:tr w14:paraId="59D3FFF1">
        <w:tblPrEx>
          <w:tblCellMar>
            <w:top w:w="0" w:type="dxa"/>
            <w:left w:w="108" w:type="dxa"/>
            <w:bottom w:w="0" w:type="dxa"/>
            <w:right w:w="108" w:type="dxa"/>
          </w:tblCellMar>
        </w:tblPrEx>
        <w:trPr>
          <w:trHeight w:val="540" w:hRule="atLeast"/>
        </w:trPr>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07D9F">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4961DEC9">
            <w:pPr>
              <w:widowControl/>
              <w:jc w:val="left"/>
              <w:rPr>
                <w:rFonts w:hint="eastAsia" w:ascii="宋体" w:hAnsi="宋体" w:cs="宋体"/>
                <w:b/>
                <w:bCs/>
                <w:kern w:val="0"/>
                <w:sz w:val="22"/>
                <w:szCs w:val="22"/>
              </w:rPr>
            </w:pPr>
            <w:r>
              <w:rPr>
                <w:rFonts w:hint="eastAsia" w:ascii="宋体" w:hAnsi="宋体" w:cs="宋体"/>
                <w:b/>
                <w:bCs/>
                <w:kern w:val="0"/>
                <w:sz w:val="22"/>
                <w:szCs w:val="22"/>
              </w:rPr>
              <w:t>项目名称</w:t>
            </w:r>
          </w:p>
        </w:tc>
        <w:tc>
          <w:tcPr>
            <w:tcW w:w="954" w:type="dxa"/>
            <w:tcBorders>
              <w:top w:val="single" w:color="auto" w:sz="4" w:space="0"/>
              <w:left w:val="nil"/>
              <w:bottom w:val="single" w:color="auto" w:sz="4" w:space="0"/>
              <w:right w:val="single" w:color="auto" w:sz="4" w:space="0"/>
            </w:tcBorders>
            <w:shd w:val="clear" w:color="auto" w:fill="auto"/>
            <w:noWrap/>
            <w:vAlign w:val="center"/>
          </w:tcPr>
          <w:p w14:paraId="74DD9AB2">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395" w:type="dxa"/>
            <w:tcBorders>
              <w:top w:val="single" w:color="auto" w:sz="4" w:space="0"/>
              <w:left w:val="nil"/>
              <w:bottom w:val="single" w:color="auto" w:sz="4" w:space="0"/>
              <w:right w:val="single" w:color="auto" w:sz="4" w:space="0"/>
            </w:tcBorders>
            <w:shd w:val="clear" w:color="auto" w:fill="auto"/>
            <w:noWrap/>
            <w:vAlign w:val="center"/>
          </w:tcPr>
          <w:p w14:paraId="0CE0FF82">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954" w:type="dxa"/>
            <w:tcBorders>
              <w:top w:val="single" w:color="auto" w:sz="4" w:space="0"/>
              <w:left w:val="nil"/>
              <w:bottom w:val="single" w:color="auto" w:sz="4" w:space="0"/>
              <w:right w:val="nil"/>
            </w:tcBorders>
            <w:shd w:val="clear" w:color="auto" w:fill="auto"/>
            <w:noWrap/>
            <w:vAlign w:val="center"/>
          </w:tcPr>
          <w:p w14:paraId="08F8545A">
            <w:pPr>
              <w:widowControl/>
              <w:jc w:val="center"/>
              <w:rPr>
                <w:rFonts w:hint="eastAsia" w:ascii="宋体" w:hAnsi="宋体" w:cs="宋体"/>
                <w:b/>
                <w:bCs/>
                <w:kern w:val="0"/>
                <w:sz w:val="22"/>
                <w:szCs w:val="22"/>
              </w:rPr>
            </w:pPr>
            <w:r>
              <w:rPr>
                <w:rFonts w:hint="eastAsia" w:ascii="宋体" w:hAnsi="宋体" w:cs="宋体"/>
                <w:b/>
                <w:bCs/>
                <w:kern w:val="0"/>
                <w:sz w:val="22"/>
                <w:szCs w:val="22"/>
              </w:rPr>
              <w:t>单价</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B84B">
            <w:pPr>
              <w:widowControl/>
              <w:jc w:val="center"/>
              <w:rPr>
                <w:rFonts w:hint="eastAsia" w:ascii="宋体" w:hAnsi="宋体" w:cs="宋体"/>
                <w:b/>
                <w:bCs/>
                <w:kern w:val="0"/>
                <w:sz w:val="22"/>
                <w:szCs w:val="22"/>
              </w:rPr>
            </w:pPr>
            <w:r>
              <w:rPr>
                <w:rFonts w:hint="eastAsia" w:ascii="宋体" w:hAnsi="宋体" w:cs="宋体"/>
                <w:b/>
                <w:bCs/>
                <w:kern w:val="0"/>
                <w:sz w:val="22"/>
                <w:szCs w:val="22"/>
              </w:rPr>
              <w:t>金额</w:t>
            </w:r>
          </w:p>
        </w:tc>
        <w:tc>
          <w:tcPr>
            <w:tcW w:w="1697" w:type="dxa"/>
            <w:tcBorders>
              <w:top w:val="single" w:color="auto" w:sz="4" w:space="0"/>
              <w:left w:val="nil"/>
              <w:bottom w:val="single" w:color="auto" w:sz="4" w:space="0"/>
              <w:right w:val="single" w:color="auto" w:sz="4" w:space="0"/>
            </w:tcBorders>
            <w:shd w:val="clear" w:color="auto" w:fill="auto"/>
            <w:noWrap w:val="0"/>
            <w:vAlign w:val="center"/>
          </w:tcPr>
          <w:p w14:paraId="2E5D9FE8">
            <w:pPr>
              <w:widowControl/>
              <w:jc w:val="left"/>
              <w:rPr>
                <w:rFonts w:hint="eastAsia" w:ascii="宋体" w:hAnsi="宋体" w:cs="宋体"/>
                <w:b/>
                <w:bCs/>
                <w:kern w:val="0"/>
                <w:sz w:val="22"/>
                <w:szCs w:val="22"/>
              </w:rPr>
            </w:pPr>
            <w:r>
              <w:rPr>
                <w:rFonts w:hint="eastAsia" w:ascii="宋体" w:hAnsi="宋体" w:cs="宋体"/>
                <w:b/>
                <w:bCs/>
                <w:kern w:val="0"/>
                <w:sz w:val="22"/>
                <w:szCs w:val="22"/>
              </w:rPr>
              <w:t>备注</w:t>
            </w:r>
          </w:p>
        </w:tc>
      </w:tr>
      <w:tr w14:paraId="7E7C1623">
        <w:tblPrEx>
          <w:tblCellMar>
            <w:top w:w="0" w:type="dxa"/>
            <w:left w:w="108" w:type="dxa"/>
            <w:bottom w:w="0" w:type="dxa"/>
            <w:right w:w="108" w:type="dxa"/>
          </w:tblCellMar>
        </w:tblPrEx>
        <w:trPr>
          <w:trHeight w:val="97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0B349065">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455" w:type="dxa"/>
            <w:tcBorders>
              <w:top w:val="nil"/>
              <w:left w:val="nil"/>
              <w:bottom w:val="single" w:color="auto" w:sz="4" w:space="0"/>
              <w:right w:val="single" w:color="auto" w:sz="4" w:space="0"/>
            </w:tcBorders>
            <w:shd w:val="clear" w:color="auto" w:fill="auto"/>
            <w:noWrap w:val="0"/>
            <w:vAlign w:val="center"/>
          </w:tcPr>
          <w:p w14:paraId="38A972BA">
            <w:pPr>
              <w:widowControl/>
              <w:jc w:val="left"/>
              <w:rPr>
                <w:rFonts w:hint="eastAsia" w:ascii="宋体" w:hAnsi="宋体" w:cs="宋体"/>
                <w:kern w:val="0"/>
                <w:sz w:val="22"/>
                <w:szCs w:val="22"/>
              </w:rPr>
            </w:pPr>
            <w:r>
              <w:rPr>
                <w:rFonts w:hint="eastAsia" w:ascii="宋体" w:hAnsi="宋体" w:cs="宋体"/>
                <w:kern w:val="0"/>
                <w:sz w:val="22"/>
                <w:szCs w:val="22"/>
              </w:rPr>
              <w:t>新建轻质隔墙（围墙）</w:t>
            </w:r>
          </w:p>
        </w:tc>
        <w:tc>
          <w:tcPr>
            <w:tcW w:w="954" w:type="dxa"/>
            <w:tcBorders>
              <w:top w:val="nil"/>
              <w:left w:val="nil"/>
              <w:bottom w:val="single" w:color="auto" w:sz="4" w:space="0"/>
              <w:right w:val="single" w:color="auto" w:sz="4" w:space="0"/>
            </w:tcBorders>
            <w:shd w:val="clear" w:color="auto" w:fill="auto"/>
            <w:noWrap/>
            <w:vAlign w:val="center"/>
          </w:tcPr>
          <w:p w14:paraId="33AEC5F1">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395" w:type="dxa"/>
            <w:tcBorders>
              <w:top w:val="nil"/>
              <w:left w:val="nil"/>
              <w:bottom w:val="single" w:color="auto" w:sz="4" w:space="0"/>
              <w:right w:val="single" w:color="auto" w:sz="4" w:space="0"/>
            </w:tcBorders>
            <w:shd w:val="clear" w:color="auto" w:fill="auto"/>
            <w:noWrap/>
            <w:vAlign w:val="center"/>
          </w:tcPr>
          <w:p w14:paraId="10054282">
            <w:pPr>
              <w:widowControl/>
              <w:jc w:val="center"/>
              <w:rPr>
                <w:rFonts w:hint="eastAsia" w:ascii="宋体" w:hAnsi="宋体" w:cs="宋体"/>
                <w:kern w:val="0"/>
                <w:sz w:val="22"/>
                <w:szCs w:val="22"/>
              </w:rPr>
            </w:pPr>
            <w:r>
              <w:rPr>
                <w:rFonts w:hint="eastAsia" w:ascii="宋体" w:hAnsi="宋体" w:cs="宋体"/>
                <w:kern w:val="0"/>
                <w:sz w:val="22"/>
                <w:szCs w:val="22"/>
              </w:rPr>
              <w:t xml:space="preserve">108.00 </w:t>
            </w:r>
          </w:p>
        </w:tc>
        <w:tc>
          <w:tcPr>
            <w:tcW w:w="954" w:type="dxa"/>
            <w:tcBorders>
              <w:top w:val="nil"/>
              <w:left w:val="nil"/>
              <w:bottom w:val="single" w:color="auto" w:sz="4" w:space="0"/>
              <w:right w:val="nil"/>
            </w:tcBorders>
            <w:shd w:val="clear" w:color="auto" w:fill="auto"/>
            <w:noWrap/>
            <w:vAlign w:val="center"/>
          </w:tcPr>
          <w:p w14:paraId="79108BD8">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5ABF815A">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3A37B59C">
            <w:pPr>
              <w:widowControl/>
              <w:jc w:val="left"/>
              <w:rPr>
                <w:rFonts w:hint="eastAsia" w:ascii="宋体" w:hAnsi="宋体" w:cs="宋体"/>
                <w:kern w:val="0"/>
                <w:sz w:val="22"/>
                <w:szCs w:val="22"/>
              </w:rPr>
            </w:pPr>
            <w:r>
              <w:rPr>
                <w:rFonts w:hint="eastAsia" w:ascii="宋体" w:hAnsi="宋体" w:cs="宋体"/>
                <w:kern w:val="0"/>
                <w:sz w:val="22"/>
                <w:szCs w:val="22"/>
              </w:rPr>
              <w:t>120*120mm 3.0mm厚镀锌方管焊接龙骨；双层水泥板隔墙；内外墙真石漆，详见效果图</w:t>
            </w:r>
          </w:p>
        </w:tc>
      </w:tr>
      <w:tr w14:paraId="02454ECD">
        <w:tblPrEx>
          <w:tblCellMar>
            <w:top w:w="0" w:type="dxa"/>
            <w:left w:w="108" w:type="dxa"/>
            <w:bottom w:w="0" w:type="dxa"/>
            <w:right w:w="108" w:type="dxa"/>
          </w:tblCellMar>
        </w:tblPrEx>
        <w:trPr>
          <w:trHeight w:val="780"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0CE3AA99">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455" w:type="dxa"/>
            <w:tcBorders>
              <w:top w:val="nil"/>
              <w:left w:val="nil"/>
              <w:bottom w:val="single" w:color="auto" w:sz="4" w:space="0"/>
              <w:right w:val="single" w:color="auto" w:sz="4" w:space="0"/>
            </w:tcBorders>
            <w:shd w:val="clear" w:color="auto" w:fill="auto"/>
            <w:noWrap w:val="0"/>
            <w:vAlign w:val="center"/>
          </w:tcPr>
          <w:p w14:paraId="72BB8F71">
            <w:pPr>
              <w:widowControl/>
              <w:jc w:val="left"/>
              <w:rPr>
                <w:rFonts w:hint="eastAsia" w:ascii="宋体" w:hAnsi="宋体" w:cs="宋体"/>
                <w:kern w:val="0"/>
                <w:sz w:val="22"/>
                <w:szCs w:val="22"/>
              </w:rPr>
            </w:pPr>
            <w:r>
              <w:rPr>
                <w:rFonts w:hint="eastAsia" w:ascii="宋体" w:hAnsi="宋体" w:cs="宋体"/>
                <w:kern w:val="0"/>
                <w:sz w:val="22"/>
                <w:szCs w:val="22"/>
              </w:rPr>
              <w:t>装饰护栏</w:t>
            </w:r>
          </w:p>
        </w:tc>
        <w:tc>
          <w:tcPr>
            <w:tcW w:w="954" w:type="dxa"/>
            <w:tcBorders>
              <w:top w:val="nil"/>
              <w:left w:val="nil"/>
              <w:bottom w:val="single" w:color="auto" w:sz="4" w:space="0"/>
              <w:right w:val="single" w:color="auto" w:sz="4" w:space="0"/>
            </w:tcBorders>
            <w:shd w:val="clear" w:color="auto" w:fill="auto"/>
            <w:noWrap/>
            <w:vAlign w:val="center"/>
          </w:tcPr>
          <w:p w14:paraId="7BFAC453">
            <w:pPr>
              <w:widowControl/>
              <w:jc w:val="center"/>
              <w:rPr>
                <w:rFonts w:hint="eastAsia" w:ascii="宋体" w:hAnsi="宋体" w:cs="宋体"/>
                <w:kern w:val="0"/>
                <w:sz w:val="22"/>
                <w:szCs w:val="22"/>
              </w:rPr>
            </w:pPr>
            <w:r>
              <w:rPr>
                <w:rFonts w:hint="eastAsia" w:ascii="宋体" w:hAnsi="宋体" w:cs="宋体"/>
                <w:kern w:val="0"/>
                <w:sz w:val="22"/>
                <w:szCs w:val="22"/>
              </w:rPr>
              <w:t>m</w:t>
            </w:r>
          </w:p>
        </w:tc>
        <w:tc>
          <w:tcPr>
            <w:tcW w:w="1395" w:type="dxa"/>
            <w:tcBorders>
              <w:top w:val="nil"/>
              <w:left w:val="nil"/>
              <w:bottom w:val="single" w:color="auto" w:sz="4" w:space="0"/>
              <w:right w:val="single" w:color="auto" w:sz="4" w:space="0"/>
            </w:tcBorders>
            <w:shd w:val="clear" w:color="auto" w:fill="auto"/>
            <w:noWrap/>
            <w:vAlign w:val="center"/>
          </w:tcPr>
          <w:p w14:paraId="07B10EC2">
            <w:pPr>
              <w:widowControl/>
              <w:jc w:val="center"/>
              <w:rPr>
                <w:rFonts w:hint="eastAsia" w:ascii="宋体" w:hAnsi="宋体" w:cs="宋体"/>
                <w:kern w:val="0"/>
                <w:sz w:val="22"/>
                <w:szCs w:val="22"/>
              </w:rPr>
            </w:pPr>
            <w:r>
              <w:rPr>
                <w:rFonts w:hint="eastAsia" w:ascii="宋体" w:hAnsi="宋体" w:cs="宋体"/>
                <w:kern w:val="0"/>
                <w:sz w:val="22"/>
                <w:szCs w:val="22"/>
              </w:rPr>
              <w:t xml:space="preserve">95.00 </w:t>
            </w:r>
          </w:p>
        </w:tc>
        <w:tc>
          <w:tcPr>
            <w:tcW w:w="954" w:type="dxa"/>
            <w:tcBorders>
              <w:top w:val="nil"/>
              <w:left w:val="nil"/>
              <w:bottom w:val="single" w:color="auto" w:sz="4" w:space="0"/>
              <w:right w:val="nil"/>
            </w:tcBorders>
            <w:shd w:val="clear" w:color="auto" w:fill="auto"/>
            <w:noWrap/>
            <w:vAlign w:val="center"/>
          </w:tcPr>
          <w:p w14:paraId="74F6CA8B">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2858551F">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67803012">
            <w:pPr>
              <w:widowControl/>
              <w:jc w:val="left"/>
              <w:rPr>
                <w:rFonts w:hint="eastAsia" w:ascii="宋体" w:hAnsi="宋体" w:cs="宋体"/>
                <w:kern w:val="0"/>
                <w:sz w:val="22"/>
                <w:szCs w:val="22"/>
              </w:rPr>
            </w:pPr>
            <w:r>
              <w:rPr>
                <w:rFonts w:hint="eastAsia" w:ascii="宋体" w:hAnsi="宋体" w:cs="宋体"/>
                <w:kern w:val="0"/>
                <w:sz w:val="22"/>
                <w:szCs w:val="22"/>
              </w:rPr>
              <w:t>实心砖砌筑 面层真石漆；装式格栅 面层氟碳漆；砖墙尺寸和格栅样式参考效果图</w:t>
            </w:r>
          </w:p>
        </w:tc>
      </w:tr>
      <w:tr w14:paraId="74FB7EA1">
        <w:tblPrEx>
          <w:tblCellMar>
            <w:top w:w="0" w:type="dxa"/>
            <w:left w:w="108" w:type="dxa"/>
            <w:bottom w:w="0" w:type="dxa"/>
            <w:right w:w="108" w:type="dxa"/>
          </w:tblCellMar>
        </w:tblPrEx>
        <w:trPr>
          <w:trHeight w:val="94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7D4C528F">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455" w:type="dxa"/>
            <w:tcBorders>
              <w:top w:val="nil"/>
              <w:left w:val="nil"/>
              <w:bottom w:val="single" w:color="auto" w:sz="4" w:space="0"/>
              <w:right w:val="single" w:color="auto" w:sz="4" w:space="0"/>
            </w:tcBorders>
            <w:shd w:val="clear" w:color="auto" w:fill="auto"/>
            <w:noWrap w:val="0"/>
            <w:vAlign w:val="center"/>
          </w:tcPr>
          <w:p w14:paraId="5FA49ADC">
            <w:pPr>
              <w:widowControl/>
              <w:jc w:val="left"/>
              <w:rPr>
                <w:rFonts w:hint="eastAsia" w:ascii="宋体" w:hAnsi="宋体" w:cs="宋体"/>
                <w:kern w:val="0"/>
                <w:sz w:val="22"/>
                <w:szCs w:val="22"/>
              </w:rPr>
            </w:pPr>
            <w:r>
              <w:rPr>
                <w:rFonts w:hint="eastAsia" w:ascii="宋体" w:hAnsi="宋体" w:cs="宋体"/>
                <w:kern w:val="0"/>
                <w:sz w:val="22"/>
                <w:szCs w:val="22"/>
              </w:rPr>
              <w:t>临时防护</w:t>
            </w:r>
          </w:p>
        </w:tc>
        <w:tc>
          <w:tcPr>
            <w:tcW w:w="954" w:type="dxa"/>
            <w:tcBorders>
              <w:top w:val="nil"/>
              <w:left w:val="nil"/>
              <w:bottom w:val="single" w:color="auto" w:sz="4" w:space="0"/>
              <w:right w:val="single" w:color="auto" w:sz="4" w:space="0"/>
            </w:tcBorders>
            <w:shd w:val="clear" w:color="auto" w:fill="auto"/>
            <w:noWrap/>
            <w:vAlign w:val="center"/>
          </w:tcPr>
          <w:p w14:paraId="5D81F701">
            <w:pPr>
              <w:widowControl/>
              <w:jc w:val="center"/>
              <w:rPr>
                <w:rFonts w:hint="eastAsia" w:ascii="宋体" w:hAnsi="宋体" w:cs="宋体"/>
                <w:kern w:val="0"/>
                <w:sz w:val="22"/>
                <w:szCs w:val="22"/>
              </w:rPr>
            </w:pPr>
            <w:r>
              <w:rPr>
                <w:rFonts w:hint="eastAsia" w:ascii="宋体" w:hAnsi="宋体" w:cs="宋体"/>
                <w:kern w:val="0"/>
                <w:sz w:val="22"/>
                <w:szCs w:val="22"/>
              </w:rPr>
              <w:t>m</w:t>
            </w:r>
          </w:p>
        </w:tc>
        <w:tc>
          <w:tcPr>
            <w:tcW w:w="1395" w:type="dxa"/>
            <w:tcBorders>
              <w:top w:val="nil"/>
              <w:left w:val="nil"/>
              <w:bottom w:val="single" w:color="auto" w:sz="4" w:space="0"/>
              <w:right w:val="single" w:color="auto" w:sz="4" w:space="0"/>
            </w:tcBorders>
            <w:shd w:val="clear" w:color="auto" w:fill="auto"/>
            <w:noWrap/>
            <w:vAlign w:val="center"/>
          </w:tcPr>
          <w:p w14:paraId="482A82F5">
            <w:pPr>
              <w:widowControl/>
              <w:jc w:val="center"/>
              <w:rPr>
                <w:rFonts w:hint="eastAsia" w:ascii="宋体" w:hAnsi="宋体" w:cs="宋体"/>
                <w:kern w:val="0"/>
                <w:sz w:val="22"/>
                <w:szCs w:val="22"/>
              </w:rPr>
            </w:pPr>
            <w:r>
              <w:rPr>
                <w:rFonts w:hint="eastAsia" w:ascii="宋体" w:hAnsi="宋体" w:cs="宋体"/>
                <w:kern w:val="0"/>
                <w:sz w:val="22"/>
                <w:szCs w:val="22"/>
              </w:rPr>
              <w:t xml:space="preserve">131.00 </w:t>
            </w:r>
          </w:p>
        </w:tc>
        <w:tc>
          <w:tcPr>
            <w:tcW w:w="954" w:type="dxa"/>
            <w:tcBorders>
              <w:top w:val="nil"/>
              <w:left w:val="nil"/>
              <w:bottom w:val="single" w:color="auto" w:sz="4" w:space="0"/>
              <w:right w:val="nil"/>
            </w:tcBorders>
            <w:shd w:val="clear" w:color="auto" w:fill="auto"/>
            <w:noWrap/>
            <w:vAlign w:val="center"/>
          </w:tcPr>
          <w:p w14:paraId="18DF2213">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4288816F">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4BBD8937">
            <w:pPr>
              <w:widowControl/>
              <w:jc w:val="left"/>
              <w:rPr>
                <w:rFonts w:hint="eastAsia" w:ascii="宋体" w:hAnsi="宋体" w:cs="宋体"/>
                <w:kern w:val="0"/>
                <w:sz w:val="22"/>
                <w:szCs w:val="22"/>
              </w:rPr>
            </w:pPr>
            <w:r>
              <w:rPr>
                <w:rFonts w:hint="eastAsia" w:ascii="宋体" w:hAnsi="宋体" w:cs="宋体"/>
                <w:kern w:val="0"/>
                <w:sz w:val="22"/>
                <w:szCs w:val="22"/>
              </w:rPr>
              <w:t>施工围挡</w:t>
            </w:r>
          </w:p>
        </w:tc>
      </w:tr>
      <w:tr w14:paraId="75567EAF">
        <w:tblPrEx>
          <w:tblCellMar>
            <w:top w:w="0" w:type="dxa"/>
            <w:left w:w="108" w:type="dxa"/>
            <w:bottom w:w="0" w:type="dxa"/>
            <w:right w:w="108" w:type="dxa"/>
          </w:tblCellMar>
        </w:tblPrEx>
        <w:trPr>
          <w:trHeight w:val="94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7BDB6818">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455" w:type="dxa"/>
            <w:tcBorders>
              <w:top w:val="nil"/>
              <w:left w:val="nil"/>
              <w:bottom w:val="single" w:color="auto" w:sz="4" w:space="0"/>
              <w:right w:val="single" w:color="auto" w:sz="4" w:space="0"/>
            </w:tcBorders>
            <w:shd w:val="clear" w:color="auto" w:fill="auto"/>
            <w:noWrap w:val="0"/>
            <w:vAlign w:val="center"/>
          </w:tcPr>
          <w:p w14:paraId="5C4F9FE6">
            <w:pPr>
              <w:widowControl/>
              <w:jc w:val="left"/>
              <w:rPr>
                <w:rFonts w:hint="eastAsia" w:ascii="宋体" w:hAnsi="宋体" w:cs="宋体"/>
                <w:kern w:val="0"/>
                <w:sz w:val="22"/>
                <w:szCs w:val="22"/>
              </w:rPr>
            </w:pPr>
            <w:r>
              <w:rPr>
                <w:rFonts w:hint="eastAsia" w:ascii="宋体" w:hAnsi="宋体" w:cs="宋体"/>
                <w:kern w:val="0"/>
                <w:sz w:val="22"/>
                <w:szCs w:val="22"/>
              </w:rPr>
              <w:t>监控支架等其他配套</w:t>
            </w:r>
          </w:p>
        </w:tc>
        <w:tc>
          <w:tcPr>
            <w:tcW w:w="954" w:type="dxa"/>
            <w:tcBorders>
              <w:top w:val="nil"/>
              <w:left w:val="nil"/>
              <w:bottom w:val="single" w:color="auto" w:sz="4" w:space="0"/>
              <w:right w:val="single" w:color="auto" w:sz="4" w:space="0"/>
            </w:tcBorders>
            <w:shd w:val="clear" w:color="auto" w:fill="auto"/>
            <w:noWrap/>
            <w:vAlign w:val="center"/>
          </w:tcPr>
          <w:p w14:paraId="6A44536E">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395" w:type="dxa"/>
            <w:tcBorders>
              <w:top w:val="nil"/>
              <w:left w:val="nil"/>
              <w:bottom w:val="single" w:color="auto" w:sz="4" w:space="0"/>
              <w:right w:val="single" w:color="auto" w:sz="4" w:space="0"/>
            </w:tcBorders>
            <w:shd w:val="clear" w:color="auto" w:fill="auto"/>
            <w:noWrap/>
            <w:vAlign w:val="center"/>
          </w:tcPr>
          <w:p w14:paraId="2466C57E">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954" w:type="dxa"/>
            <w:tcBorders>
              <w:top w:val="nil"/>
              <w:left w:val="nil"/>
              <w:bottom w:val="single" w:color="auto" w:sz="4" w:space="0"/>
              <w:right w:val="nil"/>
            </w:tcBorders>
            <w:shd w:val="clear" w:color="auto" w:fill="auto"/>
            <w:noWrap/>
            <w:vAlign w:val="center"/>
          </w:tcPr>
          <w:p w14:paraId="56FBBBCE">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548A9586">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5A461199">
            <w:pPr>
              <w:widowControl/>
              <w:jc w:val="left"/>
              <w:rPr>
                <w:rFonts w:hint="eastAsia" w:ascii="宋体" w:hAnsi="宋体" w:cs="宋体"/>
                <w:kern w:val="0"/>
                <w:sz w:val="22"/>
                <w:szCs w:val="22"/>
              </w:rPr>
            </w:pPr>
            <w:r>
              <w:rPr>
                <w:rFonts w:hint="eastAsia" w:ascii="宋体" w:hAnsi="宋体" w:cs="宋体"/>
                <w:kern w:val="0"/>
                <w:sz w:val="22"/>
                <w:szCs w:val="22"/>
              </w:rPr>
              <w:t>原监控支架 照明线缆按要求恢复</w:t>
            </w:r>
          </w:p>
        </w:tc>
      </w:tr>
      <w:tr w14:paraId="63559D26">
        <w:tblPrEx>
          <w:tblCellMar>
            <w:top w:w="0" w:type="dxa"/>
            <w:left w:w="108" w:type="dxa"/>
            <w:bottom w:w="0" w:type="dxa"/>
            <w:right w:w="108" w:type="dxa"/>
          </w:tblCellMar>
        </w:tblPrEx>
        <w:trPr>
          <w:trHeight w:val="85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4B786EB0">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1455" w:type="dxa"/>
            <w:tcBorders>
              <w:top w:val="nil"/>
              <w:left w:val="nil"/>
              <w:bottom w:val="single" w:color="auto" w:sz="4" w:space="0"/>
              <w:right w:val="single" w:color="auto" w:sz="4" w:space="0"/>
            </w:tcBorders>
            <w:shd w:val="clear" w:color="auto" w:fill="auto"/>
            <w:noWrap w:val="0"/>
            <w:vAlign w:val="center"/>
          </w:tcPr>
          <w:p w14:paraId="286B68ED">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暂列金</w:t>
            </w:r>
          </w:p>
        </w:tc>
        <w:tc>
          <w:tcPr>
            <w:tcW w:w="954" w:type="dxa"/>
            <w:tcBorders>
              <w:top w:val="nil"/>
              <w:left w:val="nil"/>
              <w:bottom w:val="single" w:color="auto" w:sz="4" w:space="0"/>
              <w:right w:val="single" w:color="auto" w:sz="4" w:space="0"/>
            </w:tcBorders>
            <w:shd w:val="clear" w:color="auto" w:fill="auto"/>
            <w:noWrap/>
            <w:vAlign w:val="center"/>
          </w:tcPr>
          <w:p w14:paraId="51E6D4ED">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项</w:t>
            </w:r>
          </w:p>
        </w:tc>
        <w:tc>
          <w:tcPr>
            <w:tcW w:w="1395" w:type="dxa"/>
            <w:tcBorders>
              <w:top w:val="nil"/>
              <w:left w:val="nil"/>
              <w:bottom w:val="single" w:color="auto" w:sz="4" w:space="0"/>
              <w:right w:val="single" w:color="auto" w:sz="4" w:space="0"/>
            </w:tcBorders>
            <w:shd w:val="clear" w:color="auto" w:fill="auto"/>
            <w:noWrap/>
            <w:vAlign w:val="center"/>
          </w:tcPr>
          <w:p w14:paraId="77979D29">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1.00</w:t>
            </w:r>
          </w:p>
        </w:tc>
        <w:tc>
          <w:tcPr>
            <w:tcW w:w="954" w:type="dxa"/>
            <w:tcBorders>
              <w:top w:val="nil"/>
              <w:left w:val="nil"/>
              <w:bottom w:val="single" w:color="auto" w:sz="4" w:space="0"/>
              <w:right w:val="nil"/>
            </w:tcBorders>
            <w:shd w:val="clear" w:color="auto" w:fill="auto"/>
            <w:noWrap/>
            <w:vAlign w:val="center"/>
          </w:tcPr>
          <w:p w14:paraId="3672C74A">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4000.00</w:t>
            </w: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42C5607F">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4000.00</w:t>
            </w:r>
          </w:p>
        </w:tc>
        <w:tc>
          <w:tcPr>
            <w:tcW w:w="1697" w:type="dxa"/>
            <w:tcBorders>
              <w:top w:val="nil"/>
              <w:left w:val="nil"/>
              <w:bottom w:val="single" w:color="auto" w:sz="4" w:space="0"/>
              <w:right w:val="single" w:color="auto" w:sz="4" w:space="0"/>
            </w:tcBorders>
            <w:shd w:val="clear" w:color="auto" w:fill="auto"/>
            <w:noWrap w:val="0"/>
            <w:vAlign w:val="center"/>
          </w:tcPr>
          <w:p w14:paraId="2EAE8BDA">
            <w:pPr>
              <w:widowControl/>
              <w:jc w:val="left"/>
              <w:rPr>
                <w:rFonts w:hint="eastAsia" w:ascii="宋体" w:hAnsi="宋体" w:cs="宋体"/>
                <w:kern w:val="0"/>
                <w:sz w:val="22"/>
                <w:szCs w:val="22"/>
              </w:rPr>
            </w:pPr>
          </w:p>
        </w:tc>
      </w:tr>
      <w:tr w14:paraId="6F718A83">
        <w:tblPrEx>
          <w:tblCellMar>
            <w:top w:w="0" w:type="dxa"/>
            <w:left w:w="108" w:type="dxa"/>
            <w:bottom w:w="0" w:type="dxa"/>
            <w:right w:w="108" w:type="dxa"/>
          </w:tblCellMar>
        </w:tblPrEx>
        <w:trPr>
          <w:trHeight w:val="85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0ED6F778">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1455" w:type="dxa"/>
            <w:tcBorders>
              <w:top w:val="nil"/>
              <w:left w:val="nil"/>
              <w:bottom w:val="single" w:color="auto" w:sz="4" w:space="0"/>
              <w:right w:val="single" w:color="auto" w:sz="4" w:space="0"/>
            </w:tcBorders>
            <w:shd w:val="clear" w:color="auto" w:fill="auto"/>
            <w:noWrap w:val="0"/>
            <w:vAlign w:val="center"/>
          </w:tcPr>
          <w:p w14:paraId="24219E43">
            <w:pPr>
              <w:widowControl/>
              <w:jc w:val="left"/>
              <w:rPr>
                <w:rFonts w:hint="eastAsia" w:ascii="宋体" w:hAnsi="宋体" w:cs="宋体"/>
                <w:kern w:val="0"/>
                <w:sz w:val="22"/>
                <w:szCs w:val="22"/>
              </w:rPr>
            </w:pPr>
            <w:r>
              <w:rPr>
                <w:rFonts w:hint="eastAsia" w:ascii="宋体" w:hAnsi="宋体" w:cs="宋体"/>
                <w:kern w:val="0"/>
                <w:sz w:val="22"/>
                <w:szCs w:val="22"/>
              </w:rPr>
              <w:t>税金</w:t>
            </w:r>
          </w:p>
        </w:tc>
        <w:tc>
          <w:tcPr>
            <w:tcW w:w="954" w:type="dxa"/>
            <w:tcBorders>
              <w:top w:val="nil"/>
              <w:left w:val="nil"/>
              <w:bottom w:val="single" w:color="auto" w:sz="4" w:space="0"/>
              <w:right w:val="single" w:color="auto" w:sz="4" w:space="0"/>
            </w:tcBorders>
            <w:shd w:val="clear" w:color="auto" w:fill="auto"/>
            <w:noWrap/>
            <w:vAlign w:val="center"/>
          </w:tcPr>
          <w:p w14:paraId="75834241">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395" w:type="dxa"/>
            <w:tcBorders>
              <w:top w:val="nil"/>
              <w:left w:val="nil"/>
              <w:bottom w:val="single" w:color="auto" w:sz="4" w:space="0"/>
              <w:right w:val="single" w:color="auto" w:sz="4" w:space="0"/>
            </w:tcBorders>
            <w:shd w:val="clear" w:color="auto" w:fill="auto"/>
            <w:noWrap/>
            <w:vAlign w:val="center"/>
          </w:tcPr>
          <w:p w14:paraId="25A058D5">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954" w:type="dxa"/>
            <w:tcBorders>
              <w:top w:val="nil"/>
              <w:left w:val="nil"/>
              <w:bottom w:val="single" w:color="auto" w:sz="4" w:space="0"/>
              <w:right w:val="nil"/>
            </w:tcBorders>
            <w:shd w:val="clear" w:color="auto" w:fill="auto"/>
            <w:noWrap/>
            <w:vAlign w:val="center"/>
          </w:tcPr>
          <w:p w14:paraId="7185534E">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3D0EF3F6">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015EC29F">
            <w:pPr>
              <w:widowControl/>
              <w:jc w:val="left"/>
              <w:rPr>
                <w:rFonts w:hint="eastAsia" w:ascii="宋体" w:hAnsi="宋体" w:cs="宋体"/>
                <w:kern w:val="0"/>
                <w:sz w:val="22"/>
                <w:szCs w:val="22"/>
              </w:rPr>
            </w:pPr>
          </w:p>
        </w:tc>
      </w:tr>
      <w:tr w14:paraId="47F0D1A9">
        <w:tblPrEx>
          <w:tblCellMar>
            <w:top w:w="0" w:type="dxa"/>
            <w:left w:w="108" w:type="dxa"/>
            <w:bottom w:w="0" w:type="dxa"/>
            <w:right w:w="108" w:type="dxa"/>
          </w:tblCellMar>
        </w:tblPrEx>
        <w:trPr>
          <w:trHeight w:val="460"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36D1F019">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758" w:type="dxa"/>
            <w:gridSpan w:val="4"/>
            <w:tcBorders>
              <w:top w:val="single" w:color="auto" w:sz="4" w:space="0"/>
              <w:left w:val="nil"/>
              <w:bottom w:val="single" w:color="auto" w:sz="4" w:space="0"/>
              <w:right w:val="single" w:color="000000" w:sz="4" w:space="0"/>
            </w:tcBorders>
            <w:shd w:val="clear" w:color="auto" w:fill="auto"/>
            <w:noWrap w:val="0"/>
            <w:vAlign w:val="center"/>
          </w:tcPr>
          <w:p w14:paraId="65C40378">
            <w:pPr>
              <w:widowControl/>
              <w:jc w:val="center"/>
              <w:rPr>
                <w:rFonts w:hint="eastAsia" w:ascii="宋体" w:hAnsi="宋体" w:cs="宋体"/>
                <w:b/>
                <w:bCs/>
                <w:kern w:val="0"/>
                <w:sz w:val="22"/>
                <w:szCs w:val="22"/>
              </w:rPr>
            </w:pPr>
            <w:r>
              <w:rPr>
                <w:rFonts w:hint="eastAsia" w:ascii="宋体" w:hAnsi="宋体" w:cs="宋体"/>
                <w:b/>
                <w:bCs/>
                <w:kern w:val="0"/>
                <w:sz w:val="22"/>
                <w:szCs w:val="22"/>
              </w:rPr>
              <w:t>总价</w:t>
            </w:r>
          </w:p>
        </w:tc>
        <w:tc>
          <w:tcPr>
            <w:tcW w:w="2651" w:type="dxa"/>
            <w:gridSpan w:val="2"/>
            <w:tcBorders>
              <w:top w:val="nil"/>
              <w:left w:val="nil"/>
              <w:bottom w:val="single" w:color="auto" w:sz="4" w:space="0"/>
              <w:right w:val="single" w:color="auto" w:sz="4" w:space="0"/>
            </w:tcBorders>
            <w:shd w:val="clear" w:color="auto" w:fill="auto"/>
            <w:noWrap/>
            <w:vAlign w:val="center"/>
          </w:tcPr>
          <w:p w14:paraId="15941CA1">
            <w:pPr>
              <w:widowControl/>
              <w:jc w:val="left"/>
              <w:rPr>
                <w:rFonts w:hint="eastAsia" w:ascii="宋体" w:hAnsi="宋体" w:cs="宋体"/>
                <w:b/>
                <w:bCs/>
                <w:kern w:val="0"/>
                <w:sz w:val="22"/>
                <w:szCs w:val="22"/>
              </w:rPr>
            </w:pPr>
          </w:p>
        </w:tc>
      </w:tr>
    </w:tbl>
    <w:p w14:paraId="3FBE47E1">
      <w:p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备注：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以宜昌市当期相关信息价、定额和市场价为参考，分项报价低于成本价、投标总价偏离控制价15%的，投标文件内提供情况说明和承诺函，并自行承担建设单位不予采纳风险。</w:t>
      </w:r>
    </w:p>
    <w:p w14:paraId="766EFF27">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3.3商务要求</w:t>
      </w:r>
    </w:p>
    <w:p w14:paraId="1559577E">
      <w:pPr>
        <w:numPr>
          <w:ilvl w:val="0"/>
          <w:numId w:val="1"/>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工期：30日历天；</w:t>
      </w:r>
    </w:p>
    <w:p w14:paraId="366AC76A">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工程质保期1年；</w:t>
      </w:r>
    </w:p>
    <w:p w14:paraId="2D00BFB3">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付款方式：款项分期支付，工程竣工验收合格并经审计后支付至审定金额的98.5%，余下1.5%作为尾款，验收合格1年后无息支付，成交供应商提供正规增值税发票，采用电汇方式结算。</w:t>
      </w:r>
    </w:p>
    <w:p w14:paraId="6E0B5A58">
      <w:pPr>
        <w:numPr>
          <w:ilvl w:val="0"/>
          <w:numId w:val="1"/>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各分项内要求详见工程量清单，清单项目特征描述中，特征描述没有体现完全的，施工中又必须发生的工作内容，所需的费用也应包括在投标报价的综合单价中。</w:t>
      </w:r>
    </w:p>
    <w:p w14:paraId="79A8B439">
      <w:pPr>
        <w:numPr>
          <w:ilvl w:val="0"/>
          <w:numId w:val="0"/>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3.4技术要求</w:t>
      </w:r>
    </w:p>
    <w:p w14:paraId="4A8544FA">
      <w:pPr>
        <w:numPr>
          <w:ilvl w:val="0"/>
          <w:numId w:val="2"/>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施工进场前，项目负责人提前勘查现场，结合现场实际情况，拟定切实可行的施工方案，就安全文明施工、工程进度等重要内容作出详尽而准确的描述。</w:t>
      </w:r>
    </w:p>
    <w:p w14:paraId="72CE86BC">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 xml:space="preserve">安全文明施工：施工区域临街，过往行人车辆较多，为保证安全，施工期间严格按规范和项目施工方案中有关安全文明施工的要求施工，提前做好现场防护，醒目位置及时张贴温馨提示、施工告知；施工期间安排旁站人员，对于施工噪声、粉尘等敏感性问题，做好疏导和提示工作。。 </w:t>
      </w:r>
    </w:p>
    <w:p w14:paraId="6D975C30">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施工进度：在实际施工中以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意见和要求作为进度动态控制的参考依据，合理安排工序、人员和机械设备，并随时按要求调整落实，施工过程中因</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重大需求，对施工时间进行的临时调整，施工单位不得拒绝，对应的总工期一律不作调整，保证工程进度。后期项目可能开展分期施工，具体施工时间段以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要求为准。</w:t>
      </w:r>
    </w:p>
    <w:p w14:paraId="44AE802B">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质量：严格按清单内要求执行，规范施工，保证工程质量。严格落实主辅材进场前的报验工作，对未报验、报验材料不合格或有疑问的材料不得进场使用，已使用的按不合格处理，由此造成的工期延误由施工单位自行负责。试运行期间的安全问题由施工单位负责。</w:t>
      </w:r>
    </w:p>
    <w:p w14:paraId="32A19C12">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施工动火：施工过程中，电焊，氧气切割，氩弧焊等动火，施工人员必须持专业有效证件；施工之前报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管理部门审批后方能施工。</w:t>
      </w:r>
    </w:p>
    <w:p w14:paraId="1985E19C">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工程质量要求：工程质量必须达到设计要求及国家现行相关工程质量验收评定合格等级标准。</w:t>
      </w:r>
    </w:p>
    <w:p w14:paraId="2C71A085">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工程安全生产要求：达到《建筑施工安全检查标准》（JGJ59-2011）的合格标准，避免发生重大安全事故。</w:t>
      </w:r>
    </w:p>
    <w:p w14:paraId="50631CCF">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施工期间协助</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完成相关审批和报建工作。</w:t>
      </w:r>
    </w:p>
    <w:p w14:paraId="69F9C27C">
      <w:pPr>
        <w:numPr>
          <w:ilvl w:val="0"/>
          <w:numId w:val="0"/>
        </w:numPr>
        <w:rPr>
          <w:rFonts w:hint="eastAsia" w:asciiTheme="minorEastAsia" w:hAnsiTheme="minorEastAsia" w:eastAsiaTheme="minorEastAsia" w:cstheme="minorEastAsia"/>
          <w:b w:val="0"/>
          <w:bCs w:val="0"/>
          <w:sz w:val="32"/>
          <w:szCs w:val="40"/>
          <w:lang w:val="en-US" w:eastAsia="zh-CN"/>
        </w:rPr>
      </w:pPr>
    </w:p>
    <w:p w14:paraId="6E15A219">
      <w:pPr>
        <w:numPr>
          <w:ilvl w:val="0"/>
          <w:numId w:val="0"/>
        </w:numPr>
        <w:rPr>
          <w:rFonts w:hint="eastAsia" w:asciiTheme="minorEastAsia" w:hAnsiTheme="minorEastAsia" w:eastAsiaTheme="minorEastAsia" w:cstheme="minorEastAsia"/>
          <w:b w:val="0"/>
          <w:bCs w:val="0"/>
          <w:sz w:val="32"/>
          <w:szCs w:val="40"/>
          <w:lang w:val="en-US" w:eastAsia="zh-CN"/>
        </w:rPr>
      </w:pPr>
    </w:p>
    <w:p w14:paraId="164A6FB1">
      <w:pPr>
        <w:numPr>
          <w:ilvl w:val="0"/>
          <w:numId w:val="0"/>
        </w:numPr>
        <w:rPr>
          <w:rFonts w:hint="eastAsia" w:asciiTheme="minorEastAsia" w:hAnsiTheme="minorEastAsia" w:eastAsiaTheme="minorEastAsia" w:cstheme="minorEastAsia"/>
          <w:b w:val="0"/>
          <w:bCs w:val="0"/>
          <w:sz w:val="32"/>
          <w:szCs w:val="40"/>
          <w:lang w:val="en-US" w:eastAsia="zh-CN"/>
        </w:rPr>
      </w:pPr>
    </w:p>
    <w:p w14:paraId="31CF903E">
      <w:pPr>
        <w:numPr>
          <w:ilvl w:val="0"/>
          <w:numId w:val="0"/>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效果图：</w:t>
      </w:r>
    </w:p>
    <w:p w14:paraId="4D7C8CAE">
      <w:pPr>
        <w:numPr>
          <w:ilvl w:val="0"/>
          <w:numId w:val="0"/>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drawing>
          <wp:inline distT="0" distB="0" distL="114300" distR="114300">
            <wp:extent cx="5232400" cy="3924300"/>
            <wp:effectExtent l="0" t="0" r="6350" b="0"/>
            <wp:docPr id="1" name="图片 1" descr="8d5d2ef82f3c5fe44e1e2488af5e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5d2ef82f3c5fe44e1e2488af5ee55"/>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764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DACD8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16AC0">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特殊要求</w:t>
            </w:r>
          </w:p>
        </w:tc>
        <w:tc>
          <w:tcPr>
            <w:tcW w:w="4586" w:type="dxa"/>
            <w:tcBorders>
              <w:left w:val="single" w:color="auto" w:sz="4" w:space="0"/>
            </w:tcBorders>
            <w:vAlign w:val="center"/>
          </w:tcPr>
          <w:p w14:paraId="59544595">
            <w:pPr>
              <w:numPr>
                <w:ilvl w:val="0"/>
                <w:numId w:val="3"/>
              </w:numPr>
              <w:spacing w:line="460" w:lineRule="exact"/>
              <w:rPr>
                <w:rFonts w:hint="eastAsia" w:ascii="宋体" w:hAnsi="宋体"/>
                <w:sz w:val="24"/>
                <w:szCs w:val="24"/>
                <w:lang w:val="en-US" w:eastAsia="zh-CN"/>
              </w:rPr>
            </w:pPr>
            <w:r>
              <w:rPr>
                <w:rFonts w:hint="eastAsia" w:ascii="宋体" w:hAnsi="宋体"/>
                <w:sz w:val="24"/>
                <w:szCs w:val="24"/>
                <w:lang w:val="en-US" w:eastAsia="zh-CN"/>
              </w:rPr>
              <w:t>投标人须具备建设行政主管部门核发的建筑工程施工总承包三级及以上资质证书。（提供资质证书原件扫描件）</w:t>
            </w:r>
          </w:p>
          <w:p w14:paraId="399777A2">
            <w:pPr>
              <w:numPr>
                <w:ilvl w:val="0"/>
                <w:numId w:val="3"/>
              </w:numPr>
              <w:spacing w:line="460" w:lineRule="exact"/>
              <w:rPr>
                <w:rFonts w:hint="eastAsia" w:ascii="宋体" w:hAnsi="宋体"/>
                <w:sz w:val="24"/>
                <w:szCs w:val="24"/>
                <w:lang w:val="en-US" w:eastAsia="zh-CN"/>
              </w:rPr>
            </w:pPr>
            <w:r>
              <w:rPr>
                <w:rFonts w:hint="eastAsia" w:ascii="宋体" w:hAnsi="宋体"/>
                <w:sz w:val="24"/>
                <w:szCs w:val="24"/>
                <w:lang w:val="en-US" w:eastAsia="zh-CN"/>
              </w:rPr>
              <w:t>具备住建部门颁发的有效的安全生产许可证。（提供资质证书原件扫描件）</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tbl>
      <w:tblPr>
        <w:tblStyle w:val="9"/>
        <w:tblpPr w:leftFromText="180" w:rightFromText="180" w:vertAnchor="text" w:horzAnchor="page" w:tblpX="1866" w:tblpY="-227"/>
        <w:tblOverlap w:val="never"/>
        <w:tblW w:w="89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32"/>
        <w:gridCol w:w="746"/>
        <w:gridCol w:w="1406"/>
        <w:gridCol w:w="857"/>
        <w:gridCol w:w="5100"/>
      </w:tblGrid>
      <w:tr w14:paraId="0A43D3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941" w:type="dxa"/>
            <w:gridSpan w:val="5"/>
            <w:tcBorders>
              <w:top w:val="outset" w:color="auto" w:sz="6" w:space="0"/>
              <w:left w:val="outset" w:color="auto" w:sz="6" w:space="0"/>
              <w:bottom w:val="outset" w:color="auto" w:sz="6" w:space="0"/>
              <w:right w:val="outset" w:color="auto" w:sz="6" w:space="0"/>
            </w:tcBorders>
            <w:noWrap w:val="0"/>
            <w:vAlign w:val="center"/>
          </w:tcPr>
          <w:p w14:paraId="7A5D4004">
            <w:pPr>
              <w:jc w:val="center"/>
              <w:rPr>
                <w:sz w:val="22"/>
              </w:rPr>
            </w:pPr>
            <w:r>
              <w:rPr>
                <w:rFonts w:hint="eastAsia"/>
                <w:sz w:val="22"/>
              </w:rPr>
              <w:t>（二）商务、技术、价格评审</w:t>
            </w:r>
          </w:p>
        </w:tc>
      </w:tr>
      <w:tr w14:paraId="64D77A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32" w:type="dxa"/>
            <w:tcBorders>
              <w:top w:val="outset" w:color="auto" w:sz="6" w:space="0"/>
              <w:left w:val="outset" w:color="auto" w:sz="6" w:space="0"/>
              <w:bottom w:val="outset" w:color="auto" w:sz="6" w:space="0"/>
              <w:right w:val="outset" w:color="auto" w:sz="6" w:space="0"/>
            </w:tcBorders>
            <w:noWrap w:val="0"/>
            <w:vAlign w:val="center"/>
          </w:tcPr>
          <w:p w14:paraId="213060F1">
            <w:pPr>
              <w:jc w:val="center"/>
              <w:rPr>
                <w:sz w:val="22"/>
              </w:rPr>
            </w:pPr>
            <w:r>
              <w:rPr>
                <w:sz w:val="22"/>
              </w:rPr>
              <w:t>序号</w:t>
            </w:r>
          </w:p>
        </w:tc>
        <w:tc>
          <w:tcPr>
            <w:tcW w:w="746" w:type="dxa"/>
            <w:tcBorders>
              <w:top w:val="outset" w:color="auto" w:sz="6" w:space="0"/>
              <w:left w:val="outset" w:color="auto" w:sz="6" w:space="0"/>
              <w:bottom w:val="outset" w:color="auto" w:sz="6" w:space="0"/>
              <w:right w:val="outset" w:color="auto" w:sz="6" w:space="0"/>
            </w:tcBorders>
            <w:noWrap w:val="0"/>
            <w:vAlign w:val="center"/>
          </w:tcPr>
          <w:p w14:paraId="1EE2BCC0">
            <w:pPr>
              <w:jc w:val="center"/>
              <w:rPr>
                <w:sz w:val="22"/>
              </w:rPr>
            </w:pPr>
            <w:r>
              <w:rPr>
                <w:rFonts w:hint="eastAsia"/>
                <w:sz w:val="22"/>
              </w:rPr>
              <w:t>类别</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239348F8">
            <w:pPr>
              <w:jc w:val="center"/>
              <w:rPr>
                <w:sz w:val="22"/>
              </w:rPr>
            </w:pPr>
            <w:r>
              <w:rPr>
                <w:sz w:val="22"/>
              </w:rPr>
              <w:t>评议内容</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67B9418E">
            <w:pPr>
              <w:jc w:val="center"/>
              <w:rPr>
                <w:sz w:val="22"/>
              </w:rPr>
            </w:pPr>
            <w:r>
              <w:rPr>
                <w:sz w:val="22"/>
              </w:rPr>
              <w:t>分值</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6634444">
            <w:pPr>
              <w:jc w:val="center"/>
              <w:rPr>
                <w:sz w:val="22"/>
              </w:rPr>
            </w:pPr>
            <w:r>
              <w:rPr>
                <w:sz w:val="22"/>
              </w:rPr>
              <w:t>检查标准</w:t>
            </w:r>
          </w:p>
        </w:tc>
      </w:tr>
      <w:tr w14:paraId="50BE1A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2" w:hRule="atLeast"/>
        </w:trPr>
        <w:tc>
          <w:tcPr>
            <w:tcW w:w="832" w:type="dxa"/>
            <w:vMerge w:val="restart"/>
            <w:tcBorders>
              <w:left w:val="outset" w:color="auto" w:sz="6" w:space="0"/>
              <w:right w:val="outset" w:color="auto" w:sz="6" w:space="0"/>
            </w:tcBorders>
            <w:noWrap w:val="0"/>
            <w:vAlign w:val="center"/>
          </w:tcPr>
          <w:p w14:paraId="78F35ED6">
            <w:pPr>
              <w:jc w:val="center"/>
              <w:rPr>
                <w:sz w:val="22"/>
              </w:rPr>
            </w:pPr>
            <w:r>
              <w:rPr>
                <w:rFonts w:hint="eastAsia"/>
                <w:sz w:val="22"/>
              </w:rPr>
              <w:t>1</w:t>
            </w:r>
          </w:p>
        </w:tc>
        <w:tc>
          <w:tcPr>
            <w:tcW w:w="746" w:type="dxa"/>
            <w:vMerge w:val="restart"/>
            <w:tcBorders>
              <w:left w:val="outset" w:color="auto" w:sz="6" w:space="0"/>
              <w:right w:val="outset" w:color="auto" w:sz="6" w:space="0"/>
            </w:tcBorders>
            <w:noWrap w:val="0"/>
            <w:vAlign w:val="center"/>
          </w:tcPr>
          <w:p w14:paraId="373DD490">
            <w:pPr>
              <w:jc w:val="center"/>
              <w:rPr>
                <w:sz w:val="22"/>
              </w:rPr>
            </w:pPr>
            <w:r>
              <w:rPr>
                <w:rFonts w:hint="eastAsia"/>
                <w:sz w:val="22"/>
              </w:rPr>
              <w:t>商务评议（</w:t>
            </w:r>
            <w:r>
              <w:rPr>
                <w:rFonts w:hint="eastAsia" w:ascii="Calibri" w:eastAsia="宋体"/>
                <w:sz w:val="22"/>
                <w:lang w:val="en-US" w:eastAsia="zh-CN"/>
              </w:rPr>
              <w:t>1</w:t>
            </w:r>
            <w:r>
              <w:rPr>
                <w:rFonts w:hint="eastAsia"/>
                <w:sz w:val="22"/>
                <w:lang w:val="en-US" w:eastAsia="zh-CN"/>
              </w:rPr>
              <w:t>6</w:t>
            </w:r>
            <w:r>
              <w:rPr>
                <w:rFonts w:hint="eastAsia"/>
                <w:sz w:val="22"/>
              </w:rPr>
              <w:t>分）</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10A16321">
            <w:pPr>
              <w:spacing w:line="400" w:lineRule="exact"/>
              <w:ind w:firstLine="440" w:firstLineChars="200"/>
              <w:jc w:val="left"/>
              <w:rPr>
                <w:rFonts w:hint="eastAsia"/>
                <w:sz w:val="22"/>
              </w:rPr>
            </w:pPr>
            <w:r>
              <w:rPr>
                <w:rFonts w:hint="eastAsia"/>
                <w:sz w:val="22"/>
              </w:rPr>
              <w:t>企业认证</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450442FF">
            <w:pPr>
              <w:spacing w:line="400" w:lineRule="exact"/>
              <w:jc w:val="left"/>
              <w:rPr>
                <w:rFonts w:hint="eastAsia"/>
                <w:sz w:val="22"/>
              </w:rPr>
            </w:pPr>
            <w:r>
              <w:rPr>
                <w:rFonts w:hint="eastAsia"/>
                <w:sz w:val="22"/>
              </w:rPr>
              <w:t>6分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40A1C42A">
            <w:pPr>
              <w:spacing w:line="400" w:lineRule="exact"/>
              <w:ind w:firstLine="440" w:firstLineChars="200"/>
              <w:jc w:val="left"/>
              <w:rPr>
                <w:rFonts w:hint="eastAsia"/>
                <w:sz w:val="22"/>
              </w:rPr>
            </w:pPr>
            <w:r>
              <w:rPr>
                <w:rFonts w:hint="eastAsia"/>
                <w:sz w:val="22"/>
              </w:rPr>
              <w:t>投标人分别通过 ISO 质量 管理体系认证、环境管理体系认证和职业健康安全管理 体 系认证，每项有得 2分，</w:t>
            </w:r>
            <w:r>
              <w:rPr>
                <w:rFonts w:hint="eastAsia"/>
                <w:sz w:val="22"/>
                <w:lang w:val="en-US" w:eastAsia="zh-CN"/>
              </w:rPr>
              <w:t>不提供</w:t>
            </w:r>
            <w:r>
              <w:rPr>
                <w:rFonts w:hint="eastAsia"/>
                <w:sz w:val="22"/>
              </w:rPr>
              <w:t>不得分，最高6分 。（提供加盖公章的原件扫描件且证书均在有效期内）</w:t>
            </w:r>
          </w:p>
        </w:tc>
      </w:tr>
      <w:tr w14:paraId="5B939A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21" w:hRule="atLeast"/>
        </w:trPr>
        <w:tc>
          <w:tcPr>
            <w:tcW w:w="832" w:type="dxa"/>
            <w:vMerge w:val="continue"/>
            <w:tcBorders>
              <w:left w:val="outset" w:color="auto" w:sz="6" w:space="0"/>
              <w:right w:val="outset" w:color="auto" w:sz="6" w:space="0"/>
            </w:tcBorders>
            <w:noWrap w:val="0"/>
            <w:vAlign w:val="center"/>
          </w:tcPr>
          <w:p w14:paraId="632BBCC6">
            <w:pPr>
              <w:jc w:val="center"/>
              <w:rPr>
                <w:sz w:val="22"/>
              </w:rPr>
            </w:pPr>
          </w:p>
        </w:tc>
        <w:tc>
          <w:tcPr>
            <w:tcW w:w="746" w:type="dxa"/>
            <w:vMerge w:val="continue"/>
            <w:tcBorders>
              <w:left w:val="outset" w:color="auto" w:sz="6" w:space="0"/>
              <w:right w:val="outset" w:color="auto" w:sz="6" w:space="0"/>
            </w:tcBorders>
            <w:noWrap w:val="0"/>
            <w:vAlign w:val="center"/>
          </w:tcPr>
          <w:p w14:paraId="4B2C9159">
            <w:pPr>
              <w:jc w:val="center"/>
              <w:rPr>
                <w:sz w:val="22"/>
              </w:rPr>
            </w:pPr>
          </w:p>
        </w:tc>
        <w:tc>
          <w:tcPr>
            <w:tcW w:w="1406" w:type="dxa"/>
            <w:tcBorders>
              <w:top w:val="outset" w:color="auto" w:sz="6" w:space="0"/>
              <w:left w:val="outset" w:color="auto" w:sz="6" w:space="0"/>
              <w:bottom w:val="outset" w:color="auto" w:sz="6" w:space="0"/>
              <w:right w:val="outset" w:color="auto" w:sz="6" w:space="0"/>
            </w:tcBorders>
            <w:noWrap w:val="0"/>
            <w:vAlign w:val="center"/>
          </w:tcPr>
          <w:p w14:paraId="730B8F44">
            <w:pPr>
              <w:spacing w:line="400" w:lineRule="exact"/>
              <w:jc w:val="left"/>
              <w:rPr>
                <w:rFonts w:hint="eastAsia"/>
                <w:sz w:val="22"/>
              </w:rPr>
            </w:pPr>
            <w:r>
              <w:rPr>
                <w:rFonts w:hint="eastAsia"/>
                <w:sz w:val="22"/>
              </w:rPr>
              <w:t>供应商业绩</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0DC55B3">
            <w:pPr>
              <w:spacing w:line="400" w:lineRule="exact"/>
              <w:jc w:val="left"/>
              <w:rPr>
                <w:rFonts w:hint="eastAsia"/>
                <w:sz w:val="22"/>
              </w:rPr>
            </w:pPr>
            <w:r>
              <w:rPr>
                <w:rFonts w:hint="eastAsia"/>
                <w:sz w:val="22"/>
              </w:rPr>
              <w:t>1</w:t>
            </w:r>
            <w:r>
              <w:rPr>
                <w:rFonts w:hint="eastAsia"/>
                <w:sz w:val="22"/>
                <w:lang w:val="en-US" w:eastAsia="zh-CN"/>
              </w:rPr>
              <w:t>0</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6F42B4EB">
            <w:pPr>
              <w:spacing w:line="400" w:lineRule="exact"/>
              <w:ind w:firstLine="440" w:firstLineChars="200"/>
              <w:jc w:val="left"/>
              <w:rPr>
                <w:rFonts w:hint="eastAsia"/>
                <w:sz w:val="22"/>
              </w:rPr>
            </w:pPr>
            <w:r>
              <w:rPr>
                <w:rFonts w:hint="eastAsia"/>
                <w:sz w:val="22"/>
              </w:rPr>
              <w:t>供应商2021年1月以来承担过类似</w:t>
            </w:r>
            <w:r>
              <w:rPr>
                <w:rFonts w:hint="eastAsia" w:ascii="Calibri" w:eastAsia="宋体"/>
                <w:sz w:val="22"/>
                <w:lang w:val="en-US" w:eastAsia="zh-CN"/>
              </w:rPr>
              <w:t>施工</w:t>
            </w:r>
            <w:r>
              <w:rPr>
                <w:rFonts w:hint="eastAsia"/>
                <w:sz w:val="22"/>
              </w:rPr>
              <w:t>业绩，每个得</w:t>
            </w:r>
            <w:r>
              <w:rPr>
                <w:rFonts w:hint="eastAsia"/>
                <w:sz w:val="22"/>
                <w:lang w:val="en-US" w:eastAsia="zh-CN"/>
              </w:rPr>
              <w:t>2.5</w:t>
            </w:r>
            <w:r>
              <w:rPr>
                <w:rFonts w:hint="eastAsia"/>
                <w:sz w:val="22"/>
              </w:rPr>
              <w:t>分，最多的1</w:t>
            </w:r>
            <w:r>
              <w:rPr>
                <w:rFonts w:hint="eastAsia"/>
                <w:sz w:val="22"/>
                <w:lang w:val="en-US" w:eastAsia="zh-CN"/>
              </w:rPr>
              <w:t>0</w:t>
            </w:r>
            <w:r>
              <w:rPr>
                <w:rFonts w:hint="eastAsia"/>
                <w:sz w:val="22"/>
              </w:rPr>
              <w:t>分（需提供合同扫描件并加盖公章）</w:t>
            </w:r>
          </w:p>
        </w:tc>
      </w:tr>
      <w:tr w14:paraId="0CF744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40" w:hRule="atLeast"/>
        </w:trPr>
        <w:tc>
          <w:tcPr>
            <w:tcW w:w="832" w:type="dxa"/>
            <w:vMerge w:val="restart"/>
            <w:tcBorders>
              <w:top w:val="single" w:color="auto" w:sz="4" w:space="0"/>
              <w:left w:val="single" w:color="auto" w:sz="4" w:space="0"/>
              <w:right w:val="single" w:color="auto" w:sz="4" w:space="0"/>
            </w:tcBorders>
            <w:noWrap w:val="0"/>
            <w:vAlign w:val="center"/>
          </w:tcPr>
          <w:p w14:paraId="39B77224">
            <w:pPr>
              <w:jc w:val="center"/>
              <w:rPr>
                <w:sz w:val="22"/>
              </w:rPr>
            </w:pPr>
            <w:r>
              <w:rPr>
                <w:rFonts w:hint="eastAsia"/>
                <w:sz w:val="22"/>
              </w:rPr>
              <w:t>2</w:t>
            </w:r>
          </w:p>
        </w:tc>
        <w:tc>
          <w:tcPr>
            <w:tcW w:w="746" w:type="dxa"/>
            <w:vMerge w:val="restart"/>
            <w:tcBorders>
              <w:top w:val="single" w:color="auto" w:sz="4" w:space="0"/>
              <w:left w:val="single" w:color="auto" w:sz="4" w:space="0"/>
              <w:right w:val="single" w:color="auto" w:sz="4" w:space="0"/>
            </w:tcBorders>
            <w:noWrap w:val="0"/>
            <w:vAlign w:val="center"/>
          </w:tcPr>
          <w:p w14:paraId="33B63D7E">
            <w:pPr>
              <w:jc w:val="center"/>
              <w:rPr>
                <w:sz w:val="22"/>
              </w:rPr>
            </w:pPr>
            <w:r>
              <w:rPr>
                <w:rFonts w:hint="eastAsia"/>
                <w:sz w:val="22"/>
              </w:rPr>
              <w:t>技术评议</w:t>
            </w:r>
          </w:p>
          <w:p w14:paraId="15308873">
            <w:pPr>
              <w:jc w:val="center"/>
              <w:rPr>
                <w:sz w:val="22"/>
              </w:rPr>
            </w:pPr>
            <w:r>
              <w:rPr>
                <w:rFonts w:hint="eastAsia"/>
                <w:sz w:val="22"/>
              </w:rPr>
              <w:t>（</w:t>
            </w:r>
            <w:r>
              <w:rPr>
                <w:rFonts w:hint="eastAsia" w:ascii="Calibri" w:eastAsia="宋体"/>
                <w:sz w:val="22"/>
                <w:lang w:val="en-US" w:eastAsia="zh-CN"/>
              </w:rPr>
              <w:t>3</w:t>
            </w:r>
            <w:r>
              <w:rPr>
                <w:rFonts w:hint="eastAsia"/>
                <w:sz w:val="22"/>
                <w:lang w:val="en-US" w:eastAsia="zh-CN"/>
              </w:rPr>
              <w:t>4分</w:t>
            </w:r>
            <w:r>
              <w:rPr>
                <w:rFonts w:hint="eastAsia"/>
                <w:sz w:val="22"/>
              </w:rPr>
              <w:t>）</w:t>
            </w:r>
          </w:p>
        </w:tc>
        <w:tc>
          <w:tcPr>
            <w:tcW w:w="1406" w:type="dxa"/>
            <w:tcBorders>
              <w:top w:val="outset" w:color="auto" w:sz="6" w:space="0"/>
              <w:left w:val="single" w:color="auto" w:sz="4" w:space="0"/>
              <w:right w:val="outset" w:color="auto" w:sz="6" w:space="0"/>
            </w:tcBorders>
            <w:noWrap w:val="0"/>
            <w:vAlign w:val="center"/>
          </w:tcPr>
          <w:p w14:paraId="6C9B80EE">
            <w:pPr>
              <w:spacing w:line="400" w:lineRule="exact"/>
              <w:jc w:val="left"/>
              <w:rPr>
                <w:rFonts w:hint="eastAsia"/>
                <w:sz w:val="22"/>
              </w:rPr>
            </w:pPr>
            <w:r>
              <w:rPr>
                <w:rFonts w:hint="eastAsia"/>
                <w:sz w:val="22"/>
                <w:lang w:val="en-US" w:eastAsia="zh-CN"/>
              </w:rPr>
              <w:t>总体</w:t>
            </w:r>
            <w:r>
              <w:rPr>
                <w:rFonts w:hint="eastAsia"/>
                <w:sz w:val="22"/>
              </w:rPr>
              <w:t>方案</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5CC114E">
            <w:pPr>
              <w:spacing w:line="400" w:lineRule="exact"/>
              <w:jc w:val="left"/>
              <w:rPr>
                <w:rFonts w:hint="eastAsia"/>
                <w:sz w:val="22"/>
              </w:rPr>
            </w:pPr>
            <w:r>
              <w:rPr>
                <w:rFonts w:hint="eastAsia"/>
                <w:sz w:val="22"/>
                <w:lang w:val="en-US" w:eastAsia="zh-CN"/>
              </w:rPr>
              <w:t>8</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69F5DFA2">
            <w:pPr>
              <w:spacing w:line="400" w:lineRule="exact"/>
              <w:ind w:firstLine="440" w:firstLineChars="200"/>
              <w:jc w:val="left"/>
              <w:rPr>
                <w:rFonts w:hint="eastAsia"/>
                <w:sz w:val="22"/>
              </w:rPr>
            </w:pPr>
            <w:r>
              <w:rPr>
                <w:rFonts w:hint="eastAsia"/>
                <w:sz w:val="22"/>
              </w:rPr>
              <w:t>供应商提供科学合理的项目实施方案:内容包括①.总体计划;②.工作范围;③.安装任务;④.工作目标;每小项方案详细、完善、合理可行的得</w:t>
            </w:r>
            <w:r>
              <w:rPr>
                <w:rFonts w:hint="eastAsia"/>
                <w:sz w:val="22"/>
                <w:lang w:val="en-US" w:eastAsia="zh-CN"/>
              </w:rPr>
              <w:t>2</w:t>
            </w:r>
            <w:r>
              <w:rPr>
                <w:rFonts w:hint="eastAsia"/>
                <w:sz w:val="22"/>
              </w:rPr>
              <w:t>分，基本合理的得</w:t>
            </w:r>
            <w:r>
              <w:rPr>
                <w:rFonts w:hint="eastAsia" w:ascii="Calibri" w:eastAsia="宋体"/>
                <w:sz w:val="22"/>
                <w:lang w:val="en-US" w:eastAsia="zh-CN"/>
              </w:rPr>
              <w:t>1</w:t>
            </w:r>
            <w:r>
              <w:rPr>
                <w:rFonts w:hint="eastAsia"/>
                <w:sz w:val="22"/>
              </w:rPr>
              <w:t>分，不合理或未提供的不得分，本项最多得</w:t>
            </w:r>
            <w:r>
              <w:rPr>
                <w:rFonts w:hint="eastAsia"/>
                <w:sz w:val="22"/>
                <w:lang w:val="en-US" w:eastAsia="zh-CN"/>
              </w:rPr>
              <w:t>8</w:t>
            </w:r>
            <w:r>
              <w:rPr>
                <w:rFonts w:hint="eastAsia"/>
                <w:sz w:val="22"/>
              </w:rPr>
              <w:t>分。</w:t>
            </w:r>
          </w:p>
        </w:tc>
      </w:tr>
      <w:tr w14:paraId="699654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20" w:hRule="atLeast"/>
        </w:trPr>
        <w:tc>
          <w:tcPr>
            <w:tcW w:w="832" w:type="dxa"/>
            <w:vMerge w:val="continue"/>
            <w:tcBorders>
              <w:left w:val="single" w:color="auto" w:sz="4" w:space="0"/>
              <w:right w:val="single" w:color="auto" w:sz="4" w:space="0"/>
            </w:tcBorders>
            <w:noWrap w:val="0"/>
            <w:vAlign w:val="center"/>
          </w:tcPr>
          <w:p w14:paraId="4E6FAF09">
            <w:pPr>
              <w:jc w:val="left"/>
              <w:rPr>
                <w:sz w:val="22"/>
              </w:rPr>
            </w:pPr>
          </w:p>
        </w:tc>
        <w:tc>
          <w:tcPr>
            <w:tcW w:w="746" w:type="dxa"/>
            <w:vMerge w:val="continue"/>
            <w:tcBorders>
              <w:left w:val="single" w:color="auto" w:sz="4" w:space="0"/>
              <w:right w:val="single" w:color="auto" w:sz="4" w:space="0"/>
            </w:tcBorders>
            <w:noWrap w:val="0"/>
            <w:vAlign w:val="center"/>
          </w:tcPr>
          <w:p w14:paraId="5276BFC8">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40CA9E08">
            <w:pPr>
              <w:spacing w:line="400" w:lineRule="exact"/>
              <w:jc w:val="left"/>
              <w:rPr>
                <w:rFonts w:hint="eastAsia"/>
                <w:sz w:val="22"/>
              </w:rPr>
            </w:pPr>
            <w:r>
              <w:rPr>
                <w:rFonts w:hint="eastAsia"/>
                <w:sz w:val="22"/>
              </w:rPr>
              <w:t>施工质量及进度保障</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3AF2E50B">
            <w:pPr>
              <w:spacing w:line="400" w:lineRule="exact"/>
              <w:jc w:val="left"/>
              <w:rPr>
                <w:rFonts w:hint="eastAsia"/>
                <w:sz w:val="22"/>
              </w:rPr>
            </w:pPr>
            <w:r>
              <w:rPr>
                <w:rFonts w:hint="eastAsia"/>
                <w:sz w:val="22"/>
              </w:rPr>
              <w:t>8分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6D8DC4D">
            <w:pPr>
              <w:spacing w:line="400" w:lineRule="exact"/>
              <w:ind w:firstLine="440" w:firstLineChars="200"/>
              <w:jc w:val="left"/>
              <w:rPr>
                <w:rFonts w:hint="eastAsia"/>
                <w:sz w:val="22"/>
              </w:rPr>
            </w:pPr>
            <w:r>
              <w:rPr>
                <w:rFonts w:hint="eastAsia"/>
                <w:sz w:val="22"/>
              </w:rPr>
              <w:t>供应商提供详细的服务质量和进度保证方案:①.有详细的工作阶段及任务划分;②有关键时间节点的掌握; ③.有严格的进度控制措施;④.有详细的质量保证措;每小项方案</w:t>
            </w:r>
            <w:r>
              <w:rPr>
                <w:rFonts w:hint="eastAsia"/>
                <w:sz w:val="22"/>
                <w:lang w:val="en-US" w:eastAsia="zh-CN"/>
              </w:rPr>
              <w:t>详</w:t>
            </w:r>
            <w:r>
              <w:rPr>
                <w:rFonts w:hint="eastAsia"/>
                <w:sz w:val="22"/>
              </w:rPr>
              <w:t>细、合理、可行的得</w:t>
            </w:r>
            <w:r>
              <w:rPr>
                <w:rFonts w:hint="eastAsia" w:ascii="Calibri" w:eastAsia="宋体"/>
                <w:sz w:val="22"/>
                <w:lang w:val="en-US" w:eastAsia="zh-CN"/>
              </w:rPr>
              <w:t>2</w:t>
            </w:r>
            <w:r>
              <w:rPr>
                <w:rFonts w:hint="eastAsia"/>
                <w:sz w:val="22"/>
              </w:rPr>
              <w:t>分，基本合理的得</w:t>
            </w:r>
            <w:r>
              <w:rPr>
                <w:rFonts w:hint="eastAsia" w:ascii="Calibri" w:eastAsia="宋体"/>
                <w:sz w:val="22"/>
                <w:lang w:val="en-US" w:eastAsia="zh-CN"/>
              </w:rPr>
              <w:t>1</w:t>
            </w:r>
            <w:r>
              <w:rPr>
                <w:rFonts w:hint="eastAsia"/>
                <w:sz w:val="22"/>
              </w:rPr>
              <w:t>分，不合理或未提供的不得分，本项最多得</w:t>
            </w:r>
            <w:r>
              <w:rPr>
                <w:rFonts w:hint="eastAsia" w:ascii="Calibri" w:eastAsia="宋体"/>
                <w:sz w:val="22"/>
                <w:lang w:val="en-US" w:eastAsia="zh-CN"/>
              </w:rPr>
              <w:t>8</w:t>
            </w:r>
            <w:r>
              <w:rPr>
                <w:rFonts w:hint="eastAsia"/>
                <w:sz w:val="22"/>
              </w:rPr>
              <w:t xml:space="preserve"> 分。</w:t>
            </w:r>
          </w:p>
        </w:tc>
      </w:tr>
      <w:tr w14:paraId="6664DA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2" w:hRule="atLeast"/>
        </w:trPr>
        <w:tc>
          <w:tcPr>
            <w:tcW w:w="832" w:type="dxa"/>
            <w:vMerge w:val="continue"/>
            <w:tcBorders>
              <w:left w:val="single" w:color="auto" w:sz="4" w:space="0"/>
              <w:right w:val="single" w:color="auto" w:sz="4" w:space="0"/>
            </w:tcBorders>
            <w:noWrap w:val="0"/>
            <w:vAlign w:val="center"/>
          </w:tcPr>
          <w:p w14:paraId="174C38B4">
            <w:pPr>
              <w:jc w:val="left"/>
              <w:rPr>
                <w:sz w:val="22"/>
              </w:rPr>
            </w:pPr>
          </w:p>
        </w:tc>
        <w:tc>
          <w:tcPr>
            <w:tcW w:w="746" w:type="dxa"/>
            <w:vMerge w:val="continue"/>
            <w:tcBorders>
              <w:left w:val="single" w:color="auto" w:sz="4" w:space="0"/>
              <w:right w:val="single" w:color="auto" w:sz="4" w:space="0"/>
            </w:tcBorders>
            <w:noWrap w:val="0"/>
            <w:vAlign w:val="center"/>
          </w:tcPr>
          <w:p w14:paraId="616245FC">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38A1AA2F">
            <w:pPr>
              <w:spacing w:line="400" w:lineRule="exact"/>
              <w:jc w:val="left"/>
              <w:rPr>
                <w:rFonts w:hint="default"/>
                <w:sz w:val="22"/>
                <w:lang w:val="en-US" w:eastAsia="zh-CN"/>
              </w:rPr>
            </w:pPr>
            <w:r>
              <w:rPr>
                <w:rFonts w:hint="eastAsia" w:ascii="Calibri" w:eastAsia="宋体"/>
                <w:sz w:val="22"/>
                <w:lang w:val="en-US" w:eastAsia="zh-CN"/>
              </w:rPr>
              <w:t>项目</w:t>
            </w:r>
            <w:r>
              <w:rPr>
                <w:rFonts w:hint="eastAsia"/>
                <w:sz w:val="22"/>
                <w:lang w:val="en-US" w:eastAsia="zh-CN"/>
              </w:rPr>
              <w:t>人员配置</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2A20A548">
            <w:pPr>
              <w:spacing w:line="400" w:lineRule="exact"/>
              <w:jc w:val="left"/>
              <w:rPr>
                <w:rFonts w:hint="eastAsia"/>
                <w:sz w:val="22"/>
              </w:rPr>
            </w:pPr>
            <w:r>
              <w:rPr>
                <w:rFonts w:hint="eastAsia"/>
                <w:sz w:val="22"/>
                <w:lang w:val="en-US" w:eastAsia="zh-CN"/>
              </w:rPr>
              <w:t>6</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2C6A7F67">
            <w:pPr>
              <w:spacing w:line="400" w:lineRule="exact"/>
              <w:ind w:firstLine="440" w:firstLineChars="200"/>
              <w:jc w:val="left"/>
              <w:rPr>
                <w:rFonts w:hint="default"/>
                <w:sz w:val="22"/>
                <w:szCs w:val="21"/>
                <w:lang w:val="en-US" w:eastAsia="zh-CN"/>
              </w:rPr>
            </w:pPr>
            <w:r>
              <w:rPr>
                <w:rFonts w:hint="eastAsia"/>
                <w:sz w:val="22"/>
                <w:szCs w:val="21"/>
              </w:rPr>
              <w:t>1.供应商拟派项目负责人具有工程类中级及 以上职称的得</w:t>
            </w:r>
            <w:r>
              <w:rPr>
                <w:rFonts w:hint="eastAsia"/>
                <w:sz w:val="22"/>
                <w:szCs w:val="21"/>
                <w:lang w:val="en-US" w:eastAsia="zh-CN"/>
              </w:rPr>
              <w:t>2</w:t>
            </w:r>
            <w:r>
              <w:rPr>
                <w:rFonts w:hint="eastAsia"/>
                <w:sz w:val="22"/>
                <w:szCs w:val="21"/>
              </w:rPr>
              <w:t>分；（提供职称证书原件</w:t>
            </w:r>
            <w:r>
              <w:rPr>
                <w:rFonts w:hint="eastAsia"/>
                <w:sz w:val="22"/>
                <w:szCs w:val="21"/>
                <w:lang w:val="en-US" w:eastAsia="zh-CN"/>
              </w:rPr>
              <w:t>扫描件</w:t>
            </w:r>
            <w:r>
              <w:rPr>
                <w:rFonts w:hint="eastAsia"/>
                <w:sz w:val="22"/>
                <w:szCs w:val="21"/>
              </w:rPr>
              <w:t>） 2.供应商拟派其他项目管理人员（质量员、安全员、施工员）具有相关有效职业证书的每提供一人得1 分，最多得3分；（提供证书原件</w:t>
            </w:r>
            <w:r>
              <w:rPr>
                <w:rFonts w:hint="eastAsia"/>
                <w:sz w:val="22"/>
                <w:szCs w:val="21"/>
                <w:lang w:val="en-US" w:eastAsia="zh-CN"/>
              </w:rPr>
              <w:t>扫描件</w:t>
            </w:r>
            <w:r>
              <w:rPr>
                <w:rFonts w:hint="eastAsia"/>
                <w:sz w:val="22"/>
                <w:szCs w:val="21"/>
              </w:rPr>
              <w:t xml:space="preserve">） </w:t>
            </w:r>
          </w:p>
        </w:tc>
      </w:tr>
      <w:tr w14:paraId="51B428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2" w:hRule="atLeast"/>
        </w:trPr>
        <w:tc>
          <w:tcPr>
            <w:tcW w:w="832" w:type="dxa"/>
            <w:vMerge w:val="continue"/>
            <w:tcBorders>
              <w:left w:val="single" w:color="auto" w:sz="4" w:space="0"/>
              <w:right w:val="single" w:color="auto" w:sz="4" w:space="0"/>
            </w:tcBorders>
            <w:noWrap w:val="0"/>
            <w:vAlign w:val="center"/>
          </w:tcPr>
          <w:p w14:paraId="077BE011">
            <w:pPr>
              <w:jc w:val="left"/>
              <w:rPr>
                <w:sz w:val="22"/>
              </w:rPr>
            </w:pPr>
          </w:p>
        </w:tc>
        <w:tc>
          <w:tcPr>
            <w:tcW w:w="746" w:type="dxa"/>
            <w:vMerge w:val="continue"/>
            <w:tcBorders>
              <w:left w:val="single" w:color="auto" w:sz="4" w:space="0"/>
              <w:right w:val="single" w:color="auto" w:sz="4" w:space="0"/>
            </w:tcBorders>
            <w:noWrap w:val="0"/>
            <w:vAlign w:val="center"/>
          </w:tcPr>
          <w:p w14:paraId="6E21E37E">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3EF0557E">
            <w:pPr>
              <w:spacing w:line="400" w:lineRule="exact"/>
              <w:jc w:val="left"/>
              <w:rPr>
                <w:rFonts w:hint="eastAsia" w:ascii="Calibri" w:eastAsia="宋体"/>
                <w:sz w:val="22"/>
                <w:lang w:val="en-US" w:eastAsia="zh-CN"/>
              </w:rPr>
            </w:pPr>
            <w:r>
              <w:rPr>
                <w:rFonts w:hint="eastAsia" w:ascii="Calibri" w:eastAsia="宋体"/>
                <w:sz w:val="22"/>
                <w:lang w:val="en-US" w:eastAsia="zh-CN"/>
              </w:rPr>
              <w:t xml:space="preserve">施工现场平面布置和临时设施、临时道路布置 </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49964E10">
            <w:pPr>
              <w:spacing w:line="400" w:lineRule="exact"/>
              <w:jc w:val="center"/>
              <w:rPr>
                <w:rFonts w:hint="default"/>
                <w:sz w:val="22"/>
                <w:lang w:val="en-US" w:eastAsia="zh-CN"/>
              </w:rPr>
            </w:pPr>
            <w:r>
              <w:rPr>
                <w:rFonts w:hint="eastAsia"/>
                <w:sz w:val="22"/>
                <w:lang w:val="en-US" w:eastAsia="zh-CN"/>
              </w:rPr>
              <w:t>6分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27A37704">
            <w:pPr>
              <w:spacing w:line="400" w:lineRule="exact"/>
              <w:ind w:firstLine="440" w:firstLineChars="200"/>
              <w:jc w:val="left"/>
              <w:rPr>
                <w:rFonts w:hint="default" w:eastAsia="宋体"/>
                <w:sz w:val="22"/>
                <w:szCs w:val="21"/>
                <w:lang w:val="en-US" w:eastAsia="zh-CN"/>
              </w:rPr>
            </w:pPr>
            <w:r>
              <w:rPr>
                <w:rFonts w:hint="eastAsia"/>
                <w:sz w:val="22"/>
                <w:szCs w:val="21"/>
                <w:lang w:val="en-US" w:eastAsia="zh-CN"/>
              </w:rPr>
              <w:t>供应商提供详细的①</w:t>
            </w:r>
            <w:r>
              <w:rPr>
                <w:rFonts w:hint="eastAsia" w:ascii="Calibri" w:eastAsia="宋体"/>
                <w:sz w:val="22"/>
                <w:lang w:val="en-US" w:eastAsia="zh-CN"/>
              </w:rPr>
              <w:t>现场平面</w:t>
            </w:r>
            <w:r>
              <w:rPr>
                <w:rFonts w:hint="eastAsia"/>
                <w:sz w:val="22"/>
                <w:lang w:val="en-US" w:eastAsia="zh-CN"/>
              </w:rPr>
              <w:t>②</w:t>
            </w:r>
            <w:r>
              <w:rPr>
                <w:rFonts w:hint="eastAsia" w:ascii="Calibri" w:eastAsia="宋体"/>
                <w:sz w:val="22"/>
                <w:lang w:val="en-US" w:eastAsia="zh-CN"/>
              </w:rPr>
              <w:t>临时设施</w:t>
            </w:r>
            <w:r>
              <w:rPr>
                <w:rFonts w:hint="eastAsia"/>
                <w:sz w:val="22"/>
                <w:lang w:val="en-US" w:eastAsia="zh-CN"/>
              </w:rPr>
              <w:t>③</w:t>
            </w:r>
            <w:r>
              <w:rPr>
                <w:rFonts w:hint="eastAsia" w:ascii="Calibri" w:eastAsia="宋体"/>
                <w:sz w:val="22"/>
                <w:lang w:val="en-US" w:eastAsia="zh-CN"/>
              </w:rPr>
              <w:t>临时道路布置</w:t>
            </w:r>
            <w:r>
              <w:rPr>
                <w:rFonts w:hint="eastAsia"/>
                <w:sz w:val="22"/>
                <w:lang w:val="en-US" w:eastAsia="zh-CN"/>
              </w:rPr>
              <w:t>方案，每提供一个且方案详细、合理、可行的得2分，</w:t>
            </w:r>
            <w:r>
              <w:rPr>
                <w:rFonts w:hint="eastAsia"/>
                <w:sz w:val="22"/>
              </w:rPr>
              <w:t>基本合理的得</w:t>
            </w:r>
            <w:r>
              <w:rPr>
                <w:rFonts w:hint="eastAsia" w:ascii="Calibri" w:eastAsia="宋体"/>
                <w:sz w:val="22"/>
                <w:lang w:val="en-US" w:eastAsia="zh-CN"/>
              </w:rPr>
              <w:t>1</w:t>
            </w:r>
            <w:r>
              <w:rPr>
                <w:rFonts w:hint="eastAsia"/>
                <w:sz w:val="22"/>
              </w:rPr>
              <w:t>分，不合理或未提供的不得分</w:t>
            </w:r>
            <w:r>
              <w:rPr>
                <w:rFonts w:hint="eastAsia"/>
                <w:sz w:val="22"/>
                <w:lang w:eastAsia="zh-CN"/>
              </w:rPr>
              <w:t>，</w:t>
            </w:r>
            <w:r>
              <w:rPr>
                <w:rFonts w:hint="eastAsia"/>
                <w:sz w:val="22"/>
                <w:lang w:val="en-US" w:eastAsia="zh-CN"/>
              </w:rPr>
              <w:t>最多得6分。</w:t>
            </w:r>
          </w:p>
        </w:tc>
      </w:tr>
      <w:tr w14:paraId="4AF7F3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05" w:hRule="atLeast"/>
        </w:trPr>
        <w:tc>
          <w:tcPr>
            <w:tcW w:w="832" w:type="dxa"/>
            <w:vMerge w:val="continue"/>
            <w:tcBorders>
              <w:left w:val="single" w:color="auto" w:sz="4" w:space="0"/>
              <w:right w:val="single" w:color="auto" w:sz="4" w:space="0"/>
            </w:tcBorders>
            <w:noWrap w:val="0"/>
            <w:vAlign w:val="center"/>
          </w:tcPr>
          <w:p w14:paraId="6CD63B70">
            <w:pPr>
              <w:jc w:val="left"/>
              <w:rPr>
                <w:sz w:val="22"/>
              </w:rPr>
            </w:pPr>
          </w:p>
        </w:tc>
        <w:tc>
          <w:tcPr>
            <w:tcW w:w="746" w:type="dxa"/>
            <w:vMerge w:val="continue"/>
            <w:tcBorders>
              <w:left w:val="single" w:color="auto" w:sz="4" w:space="0"/>
              <w:right w:val="single" w:color="auto" w:sz="4" w:space="0"/>
            </w:tcBorders>
            <w:noWrap w:val="0"/>
            <w:vAlign w:val="center"/>
          </w:tcPr>
          <w:p w14:paraId="2B157EA9">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0BD1050F">
            <w:pPr>
              <w:spacing w:line="400" w:lineRule="exact"/>
              <w:jc w:val="left"/>
              <w:rPr>
                <w:rFonts w:hint="default"/>
                <w:sz w:val="22"/>
                <w:lang w:val="en-US" w:eastAsia="zh-CN"/>
              </w:rPr>
            </w:pPr>
            <w:r>
              <w:rPr>
                <w:rFonts w:hint="eastAsia"/>
                <w:sz w:val="22"/>
              </w:rPr>
              <w:t>核心要点分析和重点、难点</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57DC9CD">
            <w:pPr>
              <w:spacing w:line="400" w:lineRule="exact"/>
              <w:jc w:val="left"/>
              <w:rPr>
                <w:rFonts w:hint="default"/>
                <w:sz w:val="22"/>
                <w:lang w:val="en-US" w:eastAsia="zh-CN"/>
              </w:rPr>
            </w:pPr>
            <w:r>
              <w:rPr>
                <w:rFonts w:hint="eastAsia"/>
                <w:sz w:val="22"/>
                <w:lang w:val="en-US" w:eastAsia="zh-CN"/>
              </w:rPr>
              <w:t>6</w:t>
            </w:r>
            <w:r>
              <w:rPr>
                <w:rFonts w:hint="eastAsia" w:ascii="Calibri" w:eastAsia="宋体"/>
                <w:sz w:val="22"/>
                <w:lang w:val="en-US" w:eastAsia="zh-CN"/>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F9B4FA1">
            <w:pPr>
              <w:spacing w:line="400" w:lineRule="exact"/>
              <w:ind w:firstLine="440" w:firstLineChars="200"/>
              <w:jc w:val="left"/>
              <w:rPr>
                <w:rFonts w:hint="eastAsia"/>
                <w:sz w:val="22"/>
                <w:szCs w:val="21"/>
              </w:rPr>
            </w:pPr>
            <w:r>
              <w:rPr>
                <w:rFonts w:hint="eastAsia"/>
                <w:sz w:val="22"/>
                <w:szCs w:val="21"/>
              </w:rPr>
              <w:t>供应商对本项目的核心要点和重点、难点进行阐述，制定解决方案:①.有核心要点的阐述;②.有项目重点分析;③.有项目难点的解决措施;每小项详细、合理、可行的得</w:t>
            </w:r>
            <w:r>
              <w:rPr>
                <w:rFonts w:hint="eastAsia"/>
                <w:sz w:val="22"/>
                <w:szCs w:val="21"/>
                <w:lang w:val="en-US" w:eastAsia="zh-CN"/>
              </w:rPr>
              <w:t>2</w:t>
            </w:r>
            <w:r>
              <w:rPr>
                <w:rFonts w:hint="eastAsia"/>
                <w:sz w:val="22"/>
                <w:szCs w:val="21"/>
              </w:rPr>
              <w:t>分，基本合理的得</w:t>
            </w:r>
            <w:r>
              <w:rPr>
                <w:rFonts w:hint="eastAsia" w:ascii="Calibri" w:eastAsia="宋体"/>
                <w:sz w:val="22"/>
                <w:szCs w:val="21"/>
                <w:lang w:val="en-US" w:eastAsia="zh-CN"/>
              </w:rPr>
              <w:t>1</w:t>
            </w:r>
            <w:r>
              <w:rPr>
                <w:rFonts w:hint="eastAsia"/>
                <w:sz w:val="22"/>
                <w:szCs w:val="21"/>
              </w:rPr>
              <w:t>分，不合理或未提供的不得分，本项最多得</w:t>
            </w:r>
            <w:r>
              <w:rPr>
                <w:rFonts w:hint="eastAsia"/>
                <w:sz w:val="22"/>
                <w:szCs w:val="21"/>
                <w:lang w:val="en-US" w:eastAsia="zh-CN"/>
              </w:rPr>
              <w:t>6</w:t>
            </w:r>
            <w:r>
              <w:rPr>
                <w:rFonts w:hint="eastAsia"/>
                <w:sz w:val="22"/>
                <w:szCs w:val="21"/>
              </w:rPr>
              <w:t>分。</w:t>
            </w:r>
          </w:p>
        </w:tc>
      </w:tr>
      <w:tr w14:paraId="1CFC64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4" w:hRule="atLeast"/>
        </w:trPr>
        <w:tc>
          <w:tcPr>
            <w:tcW w:w="832" w:type="dxa"/>
            <w:tcBorders>
              <w:top w:val="single" w:color="auto" w:sz="4" w:space="0"/>
              <w:left w:val="outset" w:color="auto" w:sz="6" w:space="0"/>
              <w:bottom w:val="outset" w:color="auto" w:sz="6" w:space="0"/>
              <w:right w:val="outset" w:color="auto" w:sz="6" w:space="0"/>
            </w:tcBorders>
            <w:noWrap w:val="0"/>
            <w:vAlign w:val="center"/>
          </w:tcPr>
          <w:p w14:paraId="43B1B799">
            <w:pPr>
              <w:jc w:val="center"/>
              <w:rPr>
                <w:sz w:val="22"/>
              </w:rPr>
            </w:pPr>
            <w:r>
              <w:rPr>
                <w:rFonts w:hint="eastAsia"/>
                <w:sz w:val="22"/>
              </w:rPr>
              <w:t>3</w:t>
            </w:r>
          </w:p>
        </w:tc>
        <w:tc>
          <w:tcPr>
            <w:tcW w:w="746" w:type="dxa"/>
            <w:tcBorders>
              <w:top w:val="single" w:color="auto" w:sz="4" w:space="0"/>
              <w:left w:val="outset" w:color="auto" w:sz="6" w:space="0"/>
              <w:bottom w:val="outset" w:color="auto" w:sz="6" w:space="0"/>
              <w:right w:val="outset" w:color="auto" w:sz="6" w:space="0"/>
            </w:tcBorders>
            <w:noWrap w:val="0"/>
            <w:vAlign w:val="center"/>
          </w:tcPr>
          <w:p w14:paraId="6F28F384">
            <w:pPr>
              <w:jc w:val="left"/>
              <w:rPr>
                <w:sz w:val="22"/>
              </w:rPr>
            </w:pPr>
            <w:r>
              <w:rPr>
                <w:rFonts w:hint="eastAsia"/>
                <w:sz w:val="22"/>
              </w:rPr>
              <w:t>价格评议（50分）</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2C762B72">
            <w:pPr>
              <w:jc w:val="center"/>
              <w:rPr>
                <w:rFonts w:hint="eastAsia"/>
                <w:sz w:val="22"/>
              </w:rPr>
            </w:pPr>
            <w:r>
              <w:rPr>
                <w:rFonts w:hint="eastAsia"/>
                <w:sz w:val="22"/>
              </w:rPr>
              <w:t>价格分</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2772CD03">
            <w:pPr>
              <w:jc w:val="center"/>
              <w:rPr>
                <w:sz w:val="22"/>
              </w:rPr>
            </w:pPr>
            <w:r>
              <w:rPr>
                <w:rFonts w:hint="eastAsia"/>
                <w:sz w:val="22"/>
              </w:rPr>
              <w:t>50分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3A33C2B2">
            <w:pPr>
              <w:spacing w:line="400" w:lineRule="exact"/>
              <w:ind w:firstLine="440" w:firstLineChars="200"/>
              <w:jc w:val="left"/>
              <w:rPr>
                <w:sz w:val="22"/>
              </w:rPr>
            </w:pPr>
            <w:r>
              <w:rPr>
                <w:rFonts w:hint="eastAsia" w:ascii="Calibri" w:eastAsia="宋体"/>
                <w:sz w:val="22"/>
                <w:szCs w:val="21"/>
                <w:lang w:val="en-US" w:eastAsia="zh-CN"/>
              </w:rPr>
              <w:t>评审</w:t>
            </w:r>
            <w:r>
              <w:rPr>
                <w:rFonts w:hint="eastAsia"/>
                <w:sz w:val="22"/>
                <w:szCs w:val="21"/>
              </w:rPr>
              <w:t>小组只对资格和符合性检查合格的响应文件进行价格评议，报价分采用低价优先法计算，即满足文件要求且最后报价最低为评审基准价，其价格分为50分。其他供应商的价格分按照下列公式计算：报价得分=(评审基准价／投标报价)×50分。</w:t>
            </w:r>
          </w:p>
        </w:tc>
      </w:tr>
    </w:tbl>
    <w:p w14:paraId="77721DB6">
      <w:pPr>
        <w:jc w:val="left"/>
        <w:rPr>
          <w:rFonts w:hint="eastAsia" w:ascii="宋体" w:hAnsi="宋体" w:cs="宋体"/>
          <w:b/>
          <w:bCs/>
          <w:kern w:val="0"/>
          <w:sz w:val="28"/>
          <w:szCs w:val="28"/>
        </w:rPr>
      </w:pPr>
    </w:p>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C901C65">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537"/>
      <w:bookmarkStart w:id="3" w:name="_Toc462487372"/>
      <w:bookmarkStart w:id="4" w:name="_Toc456291280"/>
      <w:bookmarkStart w:id="5" w:name="_Toc456291354"/>
      <w:bookmarkStart w:id="6" w:name="_Toc456291165"/>
      <w:bookmarkStart w:id="7" w:name="_Toc456291479"/>
      <w:bookmarkStart w:id="8" w:name="_Toc456291260"/>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3196BDF8">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225E888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01C4F28A">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4C481873">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720B"/>
    <w:multiLevelType w:val="singleLevel"/>
    <w:tmpl w:val="9350720B"/>
    <w:lvl w:ilvl="0" w:tentative="0">
      <w:start w:val="1"/>
      <w:numFmt w:val="decimal"/>
      <w:suff w:val="nothing"/>
      <w:lvlText w:val="%1、"/>
      <w:lvlJc w:val="left"/>
    </w:lvl>
  </w:abstractNum>
  <w:abstractNum w:abstractNumId="1">
    <w:nsid w:val="A3738B30"/>
    <w:multiLevelType w:val="singleLevel"/>
    <w:tmpl w:val="A3738B30"/>
    <w:lvl w:ilvl="0" w:tentative="0">
      <w:start w:val="1"/>
      <w:numFmt w:val="decimal"/>
      <w:suff w:val="nothing"/>
      <w:lvlText w:val="%1、"/>
      <w:lvlJc w:val="left"/>
    </w:lvl>
  </w:abstractNum>
  <w:abstractNum w:abstractNumId="2">
    <w:nsid w:val="D6EC277A"/>
    <w:multiLevelType w:val="singleLevel"/>
    <w:tmpl w:val="D6EC277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9229D2"/>
    <w:rsid w:val="0DE50C47"/>
    <w:rsid w:val="0DEF0878"/>
    <w:rsid w:val="0FBF07CB"/>
    <w:rsid w:val="122D5E2B"/>
    <w:rsid w:val="15C96EC8"/>
    <w:rsid w:val="15E11048"/>
    <w:rsid w:val="16487312"/>
    <w:rsid w:val="1B2A39B0"/>
    <w:rsid w:val="1E483195"/>
    <w:rsid w:val="1E72564B"/>
    <w:rsid w:val="2073601B"/>
    <w:rsid w:val="25564474"/>
    <w:rsid w:val="27340F9F"/>
    <w:rsid w:val="281A67DA"/>
    <w:rsid w:val="28940F73"/>
    <w:rsid w:val="2C43682A"/>
    <w:rsid w:val="2FF72565"/>
    <w:rsid w:val="35F320C9"/>
    <w:rsid w:val="37EF7508"/>
    <w:rsid w:val="381B51E4"/>
    <w:rsid w:val="3AB96387"/>
    <w:rsid w:val="3C776A76"/>
    <w:rsid w:val="3CB215A2"/>
    <w:rsid w:val="3E29266E"/>
    <w:rsid w:val="3E9B3FB6"/>
    <w:rsid w:val="400D21E5"/>
    <w:rsid w:val="412A73A4"/>
    <w:rsid w:val="4AE12D46"/>
    <w:rsid w:val="4E317FAE"/>
    <w:rsid w:val="500221AF"/>
    <w:rsid w:val="50367E0E"/>
    <w:rsid w:val="518841D2"/>
    <w:rsid w:val="547B4457"/>
    <w:rsid w:val="55E01B05"/>
    <w:rsid w:val="58B814C5"/>
    <w:rsid w:val="590C7B1D"/>
    <w:rsid w:val="5B496B7C"/>
    <w:rsid w:val="643B0D02"/>
    <w:rsid w:val="64BB76D0"/>
    <w:rsid w:val="68FC1090"/>
    <w:rsid w:val="694639F4"/>
    <w:rsid w:val="6F105201"/>
    <w:rsid w:val="70D06153"/>
    <w:rsid w:val="70E33D42"/>
    <w:rsid w:val="72240157"/>
    <w:rsid w:val="73913098"/>
    <w:rsid w:val="76523D5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5158</Words>
  <Characters>5507</Characters>
  <Lines>40</Lines>
  <Paragraphs>11</Paragraphs>
  <TotalTime>0</TotalTime>
  <ScaleCrop>false</ScaleCrop>
  <LinksUpToDate>false</LinksUpToDate>
  <CharactersWithSpaces>6324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2024-08-06T03:01:00Z</cp:lastPrinted>
  <dcterms:modified xsi:type="dcterms:W3CDTF">2024-10-10T00:41:20Z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1AF12FD607194AB1A29F773BE76AC29C_13</vt:lpwstr>
  </property>
</Properties>
</file>