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left="279" w:leftChars="133" w:firstLine="280" w:firstLineChars="1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伍家院区温控探头</w:t>
      </w:r>
      <w:r>
        <w:rPr>
          <w:rFonts w:hint="eastAsia"/>
          <w:sz w:val="28"/>
          <w:szCs w:val="28"/>
        </w:rPr>
        <w:t>采购及安装项目进行院内采购，欢迎广大符合条件的投标人踊跃投标。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56</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、项目名称：宜昌市中心人民医院伍家院区温控探头采购及安装项目</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26</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A91CD24">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56</w:t>
      </w:r>
    </w:p>
    <w:p w14:paraId="62AC51F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bookmarkStart w:id="8" w:name="_GoBack"/>
      <w:r>
        <w:rPr>
          <w:rFonts w:hint="eastAsia"/>
          <w:sz w:val="28"/>
          <w:szCs w:val="28"/>
        </w:rPr>
        <w:t>伍家院区温控探头采购及安装项目</w:t>
      </w:r>
      <w:bookmarkEnd w:id="8"/>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3.6</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宜昌市中心人民医院</w:t>
      </w:r>
      <w:r>
        <w:rPr>
          <w:rFonts w:hint="eastAsia" w:ascii="宋体" w:hAnsi="宋体"/>
          <w:color w:val="000000"/>
          <w:sz w:val="28"/>
          <w:szCs w:val="28"/>
          <w:shd w:val="clear" w:color="auto" w:fill="FFFFFF"/>
          <w:lang w:val="en-US" w:eastAsia="zh-CN"/>
        </w:rPr>
        <w:t>伍家院区</w:t>
      </w:r>
      <w:r>
        <w:rPr>
          <w:rFonts w:hint="eastAsia" w:ascii="宋体" w:hAnsi="宋体"/>
          <w:color w:val="000000"/>
          <w:sz w:val="28"/>
          <w:szCs w:val="28"/>
          <w:shd w:val="clear" w:color="auto" w:fill="FFFFFF"/>
        </w:rPr>
        <w:t>检验科、输血科确保实验室内温湿度满足国家规范要求，拟</w:t>
      </w:r>
      <w:r>
        <w:rPr>
          <w:rFonts w:hint="eastAsia" w:ascii="宋体" w:hAnsi="宋体"/>
          <w:color w:val="000000"/>
          <w:sz w:val="28"/>
          <w:szCs w:val="28"/>
          <w:shd w:val="clear" w:color="auto" w:fill="FFFFFF"/>
          <w:lang w:val="en-US" w:eastAsia="zh-CN"/>
        </w:rPr>
        <w:t>购置</w:t>
      </w:r>
      <w:r>
        <w:rPr>
          <w:rFonts w:hint="eastAsia" w:ascii="宋体" w:hAnsi="宋体"/>
          <w:color w:val="000000"/>
          <w:sz w:val="28"/>
          <w:szCs w:val="28"/>
          <w:shd w:val="clear" w:color="auto" w:fill="FFFFFF"/>
        </w:rPr>
        <w:t>一批温控探头及配件，新增设备必须兼容医院已有无线温湿度监控系统。</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79"/>
        <w:gridCol w:w="996"/>
        <w:gridCol w:w="904"/>
        <w:gridCol w:w="1185"/>
        <w:gridCol w:w="980"/>
        <w:gridCol w:w="1650"/>
      </w:tblGrid>
      <w:tr w14:paraId="524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3" w:type="dxa"/>
            <w:vAlign w:val="center"/>
          </w:tcPr>
          <w:p w14:paraId="70845E7E">
            <w:pPr>
              <w:autoSpaceDE w:val="0"/>
              <w:autoSpaceDN w:val="0"/>
              <w:spacing w:line="280" w:lineRule="exact"/>
              <w:jc w:val="center"/>
              <w:rPr>
                <w:rFonts w:ascii="宋体" w:hAnsi="宋体" w:eastAsia="宋体"/>
                <w:sz w:val="24"/>
              </w:rPr>
            </w:pPr>
            <w:r>
              <w:rPr>
                <w:rFonts w:hint="eastAsia" w:ascii="宋体" w:hAnsi="宋体" w:eastAsia="宋体"/>
                <w:sz w:val="24"/>
              </w:rPr>
              <w:t>序号</w:t>
            </w:r>
          </w:p>
        </w:tc>
        <w:tc>
          <w:tcPr>
            <w:tcW w:w="2879" w:type="dxa"/>
            <w:vAlign w:val="center"/>
          </w:tcPr>
          <w:p w14:paraId="2129F5EC">
            <w:pPr>
              <w:autoSpaceDE w:val="0"/>
              <w:autoSpaceDN w:val="0"/>
              <w:spacing w:line="280" w:lineRule="exact"/>
              <w:jc w:val="center"/>
              <w:rPr>
                <w:rFonts w:ascii="宋体" w:hAnsi="宋体" w:eastAsia="宋体"/>
                <w:sz w:val="24"/>
              </w:rPr>
            </w:pPr>
            <w:r>
              <w:rPr>
                <w:rFonts w:hint="eastAsia" w:ascii="宋体" w:hAnsi="宋体" w:eastAsia="宋体"/>
                <w:sz w:val="24"/>
              </w:rPr>
              <w:t>产品名称</w:t>
            </w:r>
          </w:p>
        </w:tc>
        <w:tc>
          <w:tcPr>
            <w:tcW w:w="996" w:type="dxa"/>
            <w:vAlign w:val="center"/>
          </w:tcPr>
          <w:p w14:paraId="61CC12CF">
            <w:pPr>
              <w:autoSpaceDE w:val="0"/>
              <w:autoSpaceDN w:val="0"/>
              <w:spacing w:line="280" w:lineRule="exact"/>
              <w:jc w:val="center"/>
              <w:rPr>
                <w:rFonts w:ascii="宋体" w:hAnsi="宋体" w:eastAsia="宋体"/>
                <w:sz w:val="24"/>
              </w:rPr>
            </w:pPr>
            <w:r>
              <w:rPr>
                <w:rFonts w:hint="eastAsia" w:ascii="宋体" w:hAnsi="宋体" w:eastAsia="宋体"/>
                <w:sz w:val="24"/>
              </w:rPr>
              <w:t>单位</w:t>
            </w:r>
          </w:p>
        </w:tc>
        <w:tc>
          <w:tcPr>
            <w:tcW w:w="904" w:type="dxa"/>
            <w:vAlign w:val="center"/>
          </w:tcPr>
          <w:p w14:paraId="6CFA7241">
            <w:pPr>
              <w:autoSpaceDE w:val="0"/>
              <w:autoSpaceDN w:val="0"/>
              <w:spacing w:line="280" w:lineRule="exact"/>
              <w:jc w:val="center"/>
              <w:rPr>
                <w:rFonts w:ascii="宋体" w:hAnsi="宋体" w:eastAsia="宋体"/>
                <w:sz w:val="24"/>
              </w:rPr>
            </w:pPr>
            <w:r>
              <w:rPr>
                <w:rFonts w:hint="eastAsia" w:ascii="宋体" w:hAnsi="宋体" w:eastAsia="宋体"/>
                <w:sz w:val="24"/>
              </w:rPr>
              <w:t>数量</w:t>
            </w:r>
          </w:p>
        </w:tc>
        <w:tc>
          <w:tcPr>
            <w:tcW w:w="1185" w:type="dxa"/>
            <w:vAlign w:val="center"/>
          </w:tcPr>
          <w:p w14:paraId="1F3B95E6">
            <w:pPr>
              <w:autoSpaceDE w:val="0"/>
              <w:autoSpaceDN w:val="0"/>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含税单价</w:t>
            </w:r>
          </w:p>
        </w:tc>
        <w:tc>
          <w:tcPr>
            <w:tcW w:w="980" w:type="dxa"/>
            <w:vAlign w:val="center"/>
          </w:tcPr>
          <w:p w14:paraId="40BB5F6C">
            <w:pPr>
              <w:autoSpaceDE w:val="0"/>
              <w:autoSpaceDN w:val="0"/>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合计</w:t>
            </w:r>
          </w:p>
        </w:tc>
        <w:tc>
          <w:tcPr>
            <w:tcW w:w="1650" w:type="dxa"/>
            <w:vAlign w:val="center"/>
          </w:tcPr>
          <w:p w14:paraId="5EFE0665">
            <w:pPr>
              <w:autoSpaceDE w:val="0"/>
              <w:autoSpaceDN w:val="0"/>
              <w:spacing w:line="280" w:lineRule="exact"/>
              <w:jc w:val="center"/>
              <w:rPr>
                <w:rFonts w:ascii="宋体" w:hAnsi="宋体" w:eastAsia="宋体"/>
                <w:sz w:val="24"/>
              </w:rPr>
            </w:pPr>
            <w:r>
              <w:rPr>
                <w:rFonts w:hint="eastAsia" w:ascii="宋体" w:hAnsi="宋体" w:eastAsia="宋体"/>
                <w:sz w:val="24"/>
              </w:rPr>
              <w:t>备注</w:t>
            </w:r>
          </w:p>
        </w:tc>
      </w:tr>
      <w:tr w14:paraId="2A5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A0C819B">
            <w:pPr>
              <w:jc w:val="center"/>
              <w:rPr>
                <w:rFonts w:ascii="宋体" w:hAnsi="宋体" w:eastAsia="宋体"/>
                <w:sz w:val="24"/>
              </w:rPr>
            </w:pPr>
            <w:r>
              <w:rPr>
                <w:rFonts w:hint="eastAsia" w:ascii="宋体" w:hAnsi="宋体" w:eastAsia="宋体"/>
                <w:sz w:val="24"/>
              </w:rPr>
              <w:t>1</w:t>
            </w:r>
          </w:p>
        </w:tc>
        <w:tc>
          <w:tcPr>
            <w:tcW w:w="2879" w:type="dxa"/>
            <w:vAlign w:val="center"/>
          </w:tcPr>
          <w:p w14:paraId="0CD4FA24">
            <w:pPr>
              <w:jc w:val="center"/>
              <w:rPr>
                <w:rFonts w:ascii="宋体" w:hAnsi="宋体" w:eastAsia="宋体"/>
                <w:sz w:val="24"/>
              </w:rPr>
            </w:pPr>
            <w:r>
              <w:rPr>
                <w:rFonts w:hint="eastAsia" w:ascii="宋体" w:hAnsi="宋体" w:eastAsia="宋体"/>
                <w:sz w:val="24"/>
              </w:rPr>
              <w:t>无线温度传感器</w:t>
            </w:r>
          </w:p>
        </w:tc>
        <w:tc>
          <w:tcPr>
            <w:tcW w:w="996" w:type="dxa"/>
            <w:vAlign w:val="center"/>
          </w:tcPr>
          <w:p w14:paraId="618D00F5">
            <w:pPr>
              <w:jc w:val="center"/>
              <w:rPr>
                <w:rFonts w:ascii="宋体" w:hAnsi="宋体" w:eastAsia="宋体"/>
                <w:sz w:val="24"/>
              </w:rPr>
            </w:pPr>
            <w:r>
              <w:rPr>
                <w:rFonts w:hint="eastAsia" w:ascii="宋体" w:hAnsi="宋体" w:eastAsia="宋体"/>
                <w:sz w:val="24"/>
              </w:rPr>
              <w:t>只</w:t>
            </w:r>
          </w:p>
        </w:tc>
        <w:tc>
          <w:tcPr>
            <w:tcW w:w="904" w:type="dxa"/>
            <w:vAlign w:val="center"/>
          </w:tcPr>
          <w:p w14:paraId="796A9496">
            <w:pPr>
              <w:jc w:val="center"/>
              <w:rPr>
                <w:rFonts w:ascii="宋体" w:hAnsi="宋体" w:eastAsia="宋体"/>
                <w:sz w:val="24"/>
              </w:rPr>
            </w:pPr>
            <w:r>
              <w:rPr>
                <w:rFonts w:hint="eastAsia" w:ascii="宋体" w:hAnsi="宋体" w:eastAsia="宋体"/>
                <w:sz w:val="24"/>
              </w:rPr>
              <w:t>14</w:t>
            </w:r>
          </w:p>
        </w:tc>
        <w:tc>
          <w:tcPr>
            <w:tcW w:w="1185" w:type="dxa"/>
            <w:vAlign w:val="center"/>
          </w:tcPr>
          <w:p w14:paraId="1B5D0986">
            <w:pPr>
              <w:jc w:val="center"/>
              <w:rPr>
                <w:rFonts w:ascii="宋体" w:hAnsi="宋体" w:eastAsia="宋体"/>
                <w:sz w:val="24"/>
              </w:rPr>
            </w:pPr>
          </w:p>
        </w:tc>
        <w:tc>
          <w:tcPr>
            <w:tcW w:w="980" w:type="dxa"/>
            <w:vAlign w:val="center"/>
          </w:tcPr>
          <w:p w14:paraId="6AD5D408">
            <w:pPr>
              <w:jc w:val="center"/>
              <w:rPr>
                <w:rFonts w:ascii="宋体" w:hAnsi="宋体" w:eastAsia="宋体"/>
                <w:sz w:val="24"/>
              </w:rPr>
            </w:pPr>
          </w:p>
        </w:tc>
        <w:tc>
          <w:tcPr>
            <w:tcW w:w="1650" w:type="dxa"/>
            <w:vAlign w:val="center"/>
          </w:tcPr>
          <w:p w14:paraId="08D339AE">
            <w:pPr>
              <w:jc w:val="center"/>
              <w:rPr>
                <w:rFonts w:ascii="宋体" w:hAnsi="宋体" w:eastAsia="宋体"/>
                <w:sz w:val="24"/>
              </w:rPr>
            </w:pPr>
            <w:r>
              <w:rPr>
                <w:rFonts w:ascii="宋体" w:hAnsi="宋体" w:eastAsia="宋体"/>
                <w:sz w:val="24"/>
              </w:rPr>
              <w:t>温度</w:t>
            </w:r>
            <w:r>
              <w:rPr>
                <w:rFonts w:hint="eastAsia" w:ascii="宋体" w:hAnsi="宋体" w:eastAsia="宋体"/>
                <w:sz w:val="24"/>
              </w:rPr>
              <w:t>（2</w:t>
            </w:r>
            <w:r>
              <w:rPr>
                <w:rFonts w:ascii="宋体" w:hAnsi="宋体" w:eastAsia="宋体"/>
                <w:sz w:val="24"/>
              </w:rPr>
              <w:t>-8</w:t>
            </w:r>
            <w:r>
              <w:rPr>
                <w:rFonts w:hint="eastAsia" w:ascii="宋体" w:hAnsi="宋体" w:eastAsia="宋体"/>
                <w:sz w:val="24"/>
              </w:rPr>
              <w:t>℃）</w:t>
            </w:r>
          </w:p>
        </w:tc>
      </w:tr>
      <w:tr w14:paraId="7985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5A79F6">
            <w:pPr>
              <w:jc w:val="center"/>
              <w:rPr>
                <w:rFonts w:ascii="宋体" w:hAnsi="宋体" w:eastAsia="宋体"/>
                <w:sz w:val="24"/>
              </w:rPr>
            </w:pPr>
            <w:r>
              <w:rPr>
                <w:rFonts w:hint="eastAsia" w:ascii="宋体" w:hAnsi="宋体" w:eastAsia="宋体"/>
                <w:sz w:val="24"/>
              </w:rPr>
              <w:t>2</w:t>
            </w:r>
          </w:p>
        </w:tc>
        <w:tc>
          <w:tcPr>
            <w:tcW w:w="2879" w:type="dxa"/>
            <w:vAlign w:val="center"/>
          </w:tcPr>
          <w:p w14:paraId="3305877E">
            <w:pPr>
              <w:jc w:val="center"/>
              <w:rPr>
                <w:rFonts w:ascii="宋体" w:hAnsi="宋体" w:eastAsia="宋体"/>
                <w:sz w:val="24"/>
              </w:rPr>
            </w:pPr>
            <w:r>
              <w:rPr>
                <w:rFonts w:hint="eastAsia" w:ascii="宋体" w:hAnsi="宋体" w:eastAsia="宋体"/>
                <w:sz w:val="24"/>
              </w:rPr>
              <w:t>无线温度传感器</w:t>
            </w:r>
          </w:p>
        </w:tc>
        <w:tc>
          <w:tcPr>
            <w:tcW w:w="996" w:type="dxa"/>
            <w:vAlign w:val="center"/>
          </w:tcPr>
          <w:p w14:paraId="762BBE4B">
            <w:pPr>
              <w:jc w:val="center"/>
              <w:rPr>
                <w:rFonts w:ascii="宋体" w:hAnsi="宋体" w:eastAsia="宋体"/>
                <w:sz w:val="24"/>
              </w:rPr>
            </w:pPr>
            <w:r>
              <w:rPr>
                <w:rFonts w:hint="eastAsia" w:ascii="宋体" w:hAnsi="宋体" w:eastAsia="宋体"/>
                <w:sz w:val="24"/>
              </w:rPr>
              <w:t>只</w:t>
            </w:r>
          </w:p>
        </w:tc>
        <w:tc>
          <w:tcPr>
            <w:tcW w:w="904" w:type="dxa"/>
            <w:vAlign w:val="center"/>
          </w:tcPr>
          <w:p w14:paraId="07303511">
            <w:pPr>
              <w:jc w:val="center"/>
              <w:rPr>
                <w:rFonts w:ascii="宋体" w:hAnsi="宋体" w:eastAsia="宋体"/>
                <w:sz w:val="24"/>
              </w:rPr>
            </w:pPr>
            <w:r>
              <w:rPr>
                <w:rFonts w:ascii="宋体" w:hAnsi="宋体" w:eastAsia="宋体"/>
                <w:sz w:val="24"/>
              </w:rPr>
              <w:t>6</w:t>
            </w:r>
          </w:p>
        </w:tc>
        <w:tc>
          <w:tcPr>
            <w:tcW w:w="1185" w:type="dxa"/>
            <w:vAlign w:val="center"/>
          </w:tcPr>
          <w:p w14:paraId="1B411C00">
            <w:pPr>
              <w:jc w:val="center"/>
              <w:rPr>
                <w:rFonts w:hint="eastAsia" w:ascii="宋体" w:hAnsi="宋体" w:eastAsia="宋体"/>
                <w:sz w:val="24"/>
              </w:rPr>
            </w:pPr>
          </w:p>
        </w:tc>
        <w:tc>
          <w:tcPr>
            <w:tcW w:w="980" w:type="dxa"/>
            <w:vAlign w:val="center"/>
          </w:tcPr>
          <w:p w14:paraId="696CD233">
            <w:pPr>
              <w:jc w:val="center"/>
              <w:rPr>
                <w:rFonts w:hint="eastAsia" w:ascii="宋体" w:hAnsi="宋体" w:eastAsia="宋体"/>
                <w:sz w:val="24"/>
              </w:rPr>
            </w:pPr>
          </w:p>
        </w:tc>
        <w:tc>
          <w:tcPr>
            <w:tcW w:w="1650" w:type="dxa"/>
            <w:vAlign w:val="center"/>
          </w:tcPr>
          <w:p w14:paraId="5F707D5A">
            <w:pPr>
              <w:jc w:val="center"/>
              <w:rPr>
                <w:rFonts w:hint="eastAsia" w:ascii="宋体" w:hAnsi="宋体" w:eastAsia="宋体"/>
                <w:sz w:val="24"/>
              </w:rPr>
            </w:pPr>
            <w:r>
              <w:rPr>
                <w:rFonts w:hint="eastAsia" w:ascii="宋体" w:hAnsi="宋体" w:eastAsia="宋体"/>
                <w:sz w:val="24"/>
              </w:rPr>
              <w:t>温度（-</w:t>
            </w:r>
            <w:r>
              <w:rPr>
                <w:rFonts w:ascii="宋体" w:hAnsi="宋体" w:eastAsia="宋体"/>
                <w:sz w:val="24"/>
              </w:rPr>
              <w:t>40</w:t>
            </w:r>
            <w:r>
              <w:rPr>
                <w:rFonts w:hint="eastAsia" w:ascii="宋体" w:hAnsi="宋体" w:eastAsia="宋体"/>
                <w:sz w:val="24"/>
              </w:rPr>
              <w:t>℃）</w:t>
            </w:r>
          </w:p>
        </w:tc>
      </w:tr>
      <w:tr w14:paraId="184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FA3A7CF">
            <w:pPr>
              <w:jc w:val="center"/>
              <w:rPr>
                <w:rFonts w:ascii="宋体" w:hAnsi="宋体" w:eastAsia="宋体"/>
                <w:sz w:val="24"/>
              </w:rPr>
            </w:pPr>
            <w:r>
              <w:rPr>
                <w:rFonts w:hint="eastAsia" w:ascii="宋体" w:hAnsi="宋体" w:eastAsia="宋体"/>
                <w:sz w:val="24"/>
              </w:rPr>
              <w:t>3</w:t>
            </w:r>
          </w:p>
        </w:tc>
        <w:tc>
          <w:tcPr>
            <w:tcW w:w="2879" w:type="dxa"/>
            <w:vAlign w:val="center"/>
          </w:tcPr>
          <w:p w14:paraId="64696E03">
            <w:pPr>
              <w:jc w:val="center"/>
              <w:rPr>
                <w:rFonts w:ascii="宋体" w:hAnsi="宋体" w:eastAsia="宋体"/>
                <w:sz w:val="24"/>
              </w:rPr>
            </w:pPr>
            <w:r>
              <w:rPr>
                <w:rFonts w:hint="eastAsia" w:ascii="宋体" w:hAnsi="宋体" w:eastAsia="宋体"/>
                <w:sz w:val="24"/>
              </w:rPr>
              <w:t>无线温度传感器</w:t>
            </w:r>
          </w:p>
        </w:tc>
        <w:tc>
          <w:tcPr>
            <w:tcW w:w="996" w:type="dxa"/>
            <w:vAlign w:val="center"/>
          </w:tcPr>
          <w:p w14:paraId="3BAE63AC">
            <w:pPr>
              <w:jc w:val="center"/>
              <w:rPr>
                <w:rFonts w:ascii="宋体" w:hAnsi="宋体" w:eastAsia="宋体"/>
                <w:sz w:val="24"/>
              </w:rPr>
            </w:pPr>
            <w:r>
              <w:rPr>
                <w:rFonts w:hint="eastAsia" w:ascii="宋体" w:hAnsi="宋体" w:eastAsia="宋体"/>
                <w:sz w:val="24"/>
              </w:rPr>
              <w:t>台</w:t>
            </w:r>
          </w:p>
        </w:tc>
        <w:tc>
          <w:tcPr>
            <w:tcW w:w="904" w:type="dxa"/>
            <w:vAlign w:val="center"/>
          </w:tcPr>
          <w:p w14:paraId="2C329D9E">
            <w:pPr>
              <w:jc w:val="center"/>
              <w:rPr>
                <w:rFonts w:ascii="宋体" w:hAnsi="宋体" w:eastAsia="宋体"/>
                <w:sz w:val="24"/>
              </w:rPr>
            </w:pPr>
            <w:r>
              <w:rPr>
                <w:rFonts w:ascii="宋体" w:hAnsi="宋体" w:eastAsia="宋体"/>
                <w:sz w:val="24"/>
              </w:rPr>
              <w:t>3</w:t>
            </w:r>
          </w:p>
        </w:tc>
        <w:tc>
          <w:tcPr>
            <w:tcW w:w="1185" w:type="dxa"/>
            <w:vAlign w:val="center"/>
          </w:tcPr>
          <w:p w14:paraId="62955BF1">
            <w:pPr>
              <w:jc w:val="center"/>
              <w:rPr>
                <w:rFonts w:hint="eastAsia" w:ascii="宋体" w:hAnsi="宋体" w:eastAsia="宋体"/>
                <w:sz w:val="24"/>
              </w:rPr>
            </w:pPr>
          </w:p>
        </w:tc>
        <w:tc>
          <w:tcPr>
            <w:tcW w:w="980" w:type="dxa"/>
            <w:vAlign w:val="center"/>
          </w:tcPr>
          <w:p w14:paraId="552A4F25">
            <w:pPr>
              <w:jc w:val="center"/>
              <w:rPr>
                <w:rFonts w:hint="eastAsia" w:ascii="宋体" w:hAnsi="宋体" w:eastAsia="宋体"/>
                <w:sz w:val="24"/>
              </w:rPr>
            </w:pPr>
          </w:p>
        </w:tc>
        <w:tc>
          <w:tcPr>
            <w:tcW w:w="1650" w:type="dxa"/>
            <w:vAlign w:val="center"/>
          </w:tcPr>
          <w:p w14:paraId="2CD591F6">
            <w:pPr>
              <w:jc w:val="center"/>
              <w:rPr>
                <w:rFonts w:ascii="宋体" w:hAnsi="宋体" w:eastAsia="宋体"/>
                <w:sz w:val="24"/>
              </w:rPr>
            </w:pPr>
            <w:r>
              <w:rPr>
                <w:rFonts w:hint="eastAsia" w:ascii="宋体" w:hAnsi="宋体" w:eastAsia="宋体"/>
                <w:sz w:val="24"/>
              </w:rPr>
              <w:t>温湿度</w:t>
            </w:r>
          </w:p>
        </w:tc>
      </w:tr>
      <w:tr w14:paraId="142C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BD65940">
            <w:pPr>
              <w:jc w:val="center"/>
              <w:rPr>
                <w:rFonts w:ascii="宋体" w:hAnsi="宋体" w:eastAsia="宋体"/>
                <w:sz w:val="24"/>
              </w:rPr>
            </w:pPr>
            <w:r>
              <w:rPr>
                <w:rFonts w:hint="eastAsia" w:ascii="宋体" w:hAnsi="宋体" w:eastAsia="宋体"/>
                <w:sz w:val="24"/>
              </w:rPr>
              <w:t>4</w:t>
            </w:r>
          </w:p>
        </w:tc>
        <w:tc>
          <w:tcPr>
            <w:tcW w:w="2879" w:type="dxa"/>
            <w:vAlign w:val="center"/>
          </w:tcPr>
          <w:p w14:paraId="192AE975">
            <w:pPr>
              <w:jc w:val="center"/>
              <w:rPr>
                <w:rFonts w:ascii="宋体" w:hAnsi="宋体" w:eastAsia="宋体"/>
                <w:sz w:val="24"/>
              </w:rPr>
            </w:pPr>
            <w:r>
              <w:rPr>
                <w:rFonts w:hint="eastAsia" w:ascii="宋体" w:hAnsi="宋体" w:eastAsia="宋体"/>
                <w:sz w:val="24"/>
              </w:rPr>
              <w:t>传感器专用电池</w:t>
            </w:r>
          </w:p>
        </w:tc>
        <w:tc>
          <w:tcPr>
            <w:tcW w:w="996" w:type="dxa"/>
            <w:vAlign w:val="center"/>
          </w:tcPr>
          <w:p w14:paraId="1E4AF510">
            <w:pPr>
              <w:jc w:val="center"/>
              <w:rPr>
                <w:rFonts w:ascii="宋体" w:hAnsi="宋体" w:eastAsia="宋体"/>
                <w:sz w:val="24"/>
              </w:rPr>
            </w:pPr>
            <w:r>
              <w:rPr>
                <w:rFonts w:hint="eastAsia" w:ascii="宋体" w:hAnsi="宋体" w:eastAsia="宋体"/>
                <w:sz w:val="24"/>
              </w:rPr>
              <w:t>个</w:t>
            </w:r>
          </w:p>
        </w:tc>
        <w:tc>
          <w:tcPr>
            <w:tcW w:w="904" w:type="dxa"/>
            <w:vAlign w:val="center"/>
          </w:tcPr>
          <w:p w14:paraId="3CA82C32">
            <w:pPr>
              <w:jc w:val="center"/>
              <w:rPr>
                <w:rFonts w:ascii="宋体" w:hAnsi="宋体" w:eastAsia="宋体"/>
                <w:sz w:val="24"/>
              </w:rPr>
            </w:pPr>
            <w:r>
              <w:rPr>
                <w:rFonts w:hint="eastAsia" w:ascii="宋体" w:hAnsi="宋体" w:eastAsia="宋体"/>
                <w:sz w:val="24"/>
              </w:rPr>
              <w:t>10</w:t>
            </w:r>
          </w:p>
        </w:tc>
        <w:tc>
          <w:tcPr>
            <w:tcW w:w="1185" w:type="dxa"/>
            <w:vAlign w:val="center"/>
          </w:tcPr>
          <w:p w14:paraId="1AB45BA6">
            <w:pPr>
              <w:jc w:val="center"/>
              <w:rPr>
                <w:rFonts w:ascii="宋体" w:hAnsi="宋体" w:eastAsia="宋体"/>
                <w:sz w:val="24"/>
              </w:rPr>
            </w:pPr>
          </w:p>
        </w:tc>
        <w:tc>
          <w:tcPr>
            <w:tcW w:w="980" w:type="dxa"/>
            <w:vAlign w:val="center"/>
          </w:tcPr>
          <w:p w14:paraId="6172C22B">
            <w:pPr>
              <w:jc w:val="center"/>
              <w:rPr>
                <w:rFonts w:ascii="宋体" w:hAnsi="宋体" w:eastAsia="宋体"/>
                <w:sz w:val="24"/>
              </w:rPr>
            </w:pPr>
          </w:p>
        </w:tc>
        <w:tc>
          <w:tcPr>
            <w:tcW w:w="1650" w:type="dxa"/>
            <w:vAlign w:val="center"/>
          </w:tcPr>
          <w:p w14:paraId="38120F1E">
            <w:pPr>
              <w:jc w:val="center"/>
              <w:rPr>
                <w:rFonts w:ascii="宋体" w:hAnsi="宋体" w:eastAsia="宋体"/>
                <w:sz w:val="24"/>
              </w:rPr>
            </w:pPr>
          </w:p>
        </w:tc>
      </w:tr>
      <w:tr w14:paraId="0B5D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E5E2224">
            <w:pPr>
              <w:jc w:val="center"/>
              <w:rPr>
                <w:rFonts w:ascii="宋体" w:hAnsi="宋体" w:eastAsia="宋体"/>
                <w:sz w:val="24"/>
              </w:rPr>
            </w:pPr>
            <w:r>
              <w:rPr>
                <w:rFonts w:hint="eastAsia" w:ascii="宋体" w:hAnsi="宋体" w:eastAsia="宋体"/>
                <w:sz w:val="24"/>
              </w:rPr>
              <w:t>5</w:t>
            </w:r>
          </w:p>
        </w:tc>
        <w:tc>
          <w:tcPr>
            <w:tcW w:w="2879" w:type="dxa"/>
            <w:vAlign w:val="center"/>
          </w:tcPr>
          <w:p w14:paraId="2C50C367">
            <w:pPr>
              <w:jc w:val="center"/>
              <w:rPr>
                <w:rFonts w:ascii="宋体" w:hAnsi="宋体" w:eastAsia="宋体"/>
                <w:sz w:val="24"/>
              </w:rPr>
            </w:pPr>
            <w:r>
              <w:rPr>
                <w:rFonts w:hint="eastAsia" w:ascii="宋体" w:hAnsi="宋体" w:eastAsia="宋体"/>
                <w:sz w:val="24"/>
              </w:rPr>
              <w:t>安装服务费</w:t>
            </w:r>
          </w:p>
        </w:tc>
        <w:tc>
          <w:tcPr>
            <w:tcW w:w="996" w:type="dxa"/>
            <w:vAlign w:val="center"/>
          </w:tcPr>
          <w:p w14:paraId="316517DE">
            <w:pPr>
              <w:jc w:val="center"/>
              <w:rPr>
                <w:rFonts w:hint="default" w:ascii="宋体" w:hAnsi="宋体" w:eastAsia="宋体"/>
                <w:sz w:val="24"/>
                <w:lang w:val="en-US" w:eastAsia="zh-CN"/>
              </w:rPr>
            </w:pPr>
            <w:r>
              <w:rPr>
                <w:rFonts w:hint="eastAsia" w:ascii="宋体" w:hAnsi="宋体" w:eastAsia="宋体"/>
                <w:sz w:val="24"/>
                <w:lang w:val="en-US" w:eastAsia="zh-CN"/>
              </w:rPr>
              <w:t>项</w:t>
            </w:r>
          </w:p>
        </w:tc>
        <w:tc>
          <w:tcPr>
            <w:tcW w:w="904" w:type="dxa"/>
            <w:vAlign w:val="center"/>
          </w:tcPr>
          <w:p w14:paraId="0E516423">
            <w:pPr>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185" w:type="dxa"/>
            <w:vAlign w:val="center"/>
          </w:tcPr>
          <w:p w14:paraId="637B46F0">
            <w:pPr>
              <w:jc w:val="center"/>
              <w:rPr>
                <w:rFonts w:ascii="宋体" w:hAnsi="宋体" w:eastAsia="宋体"/>
                <w:sz w:val="24"/>
              </w:rPr>
            </w:pPr>
          </w:p>
        </w:tc>
        <w:tc>
          <w:tcPr>
            <w:tcW w:w="980" w:type="dxa"/>
            <w:vAlign w:val="center"/>
          </w:tcPr>
          <w:p w14:paraId="2BFF905F">
            <w:pPr>
              <w:jc w:val="center"/>
              <w:rPr>
                <w:rFonts w:ascii="宋体" w:hAnsi="宋体" w:eastAsia="宋体"/>
                <w:sz w:val="24"/>
              </w:rPr>
            </w:pPr>
          </w:p>
        </w:tc>
        <w:tc>
          <w:tcPr>
            <w:tcW w:w="1650" w:type="dxa"/>
            <w:vAlign w:val="center"/>
          </w:tcPr>
          <w:p w14:paraId="3B8ABF6B">
            <w:pPr>
              <w:jc w:val="center"/>
              <w:rPr>
                <w:rFonts w:ascii="宋体" w:hAnsi="宋体" w:eastAsia="宋体"/>
                <w:sz w:val="24"/>
              </w:rPr>
            </w:pPr>
          </w:p>
        </w:tc>
      </w:tr>
      <w:tr w14:paraId="28D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72" w:type="dxa"/>
            <w:gridSpan w:val="4"/>
            <w:vAlign w:val="center"/>
          </w:tcPr>
          <w:p w14:paraId="30162859">
            <w:pPr>
              <w:jc w:val="center"/>
              <w:rPr>
                <w:rFonts w:hint="default" w:ascii="宋体" w:hAnsi="宋体" w:eastAsia="宋体"/>
                <w:sz w:val="24"/>
                <w:lang w:val="en-US" w:eastAsia="zh-CN"/>
              </w:rPr>
            </w:pPr>
            <w:r>
              <w:rPr>
                <w:rFonts w:hint="eastAsia" w:ascii="宋体" w:hAnsi="宋体" w:eastAsia="宋体"/>
                <w:sz w:val="24"/>
                <w:lang w:val="en-US" w:eastAsia="zh-CN"/>
              </w:rPr>
              <w:t>总计（含税）</w:t>
            </w:r>
          </w:p>
        </w:tc>
        <w:tc>
          <w:tcPr>
            <w:tcW w:w="3815" w:type="dxa"/>
            <w:gridSpan w:val="3"/>
            <w:vAlign w:val="center"/>
          </w:tcPr>
          <w:p w14:paraId="3D80A910">
            <w:pPr>
              <w:jc w:val="center"/>
              <w:rPr>
                <w:rFonts w:ascii="宋体" w:hAnsi="宋体" w:eastAsia="宋体"/>
                <w:sz w:val="24"/>
              </w:rPr>
            </w:pPr>
          </w:p>
        </w:tc>
      </w:tr>
    </w:tbl>
    <w:p w14:paraId="3626BAB4">
      <w:pPr>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注：投标文件需对分项进行报价并标注品牌</w:t>
      </w:r>
    </w:p>
    <w:p w14:paraId="7FA5C797">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3.2.2技术要求</w:t>
      </w:r>
    </w:p>
    <w:p w14:paraId="7E52D364">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1、新增设备必须兼容采购人已有无线温湿度监控系统。</w:t>
      </w:r>
    </w:p>
    <w:p w14:paraId="6BA7EFF2">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2、对采购人新增加的冰箱、恒温培养箱等设备的温度及实验室环境温湿度24小时连续在线监控。</w:t>
      </w:r>
    </w:p>
    <w:p w14:paraId="7FF974F6">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3、数据采集间隔时间30分钟，温湿度记录至少保存一年以上。系统软件具备在线监测、数据记录分析、输出打印等功能。有完善的权限和组织管理功能，各监控单位能方便的查看监控记录和及时收到报警信息。</w:t>
      </w:r>
    </w:p>
    <w:p w14:paraId="651E659D">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4、温度测量精度不超过±0.5℃，温度分辨率不超过0.2℃。温度测量范围：普通监控点-30℃至100℃；超低温监控点应达到-100℃。</w:t>
      </w:r>
    </w:p>
    <w:p w14:paraId="71E3541B">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5、任何监测点温度超出设定范围，系统立即自动报警，并通过微信通知相关人员。</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1、采购及安装期限：接到采购人.通知后15日历天内完成到货及安装</w:t>
      </w:r>
      <w:r>
        <w:rPr>
          <w:rFonts w:hint="eastAsia" w:hAnsi="宋体" w:cs="宋体"/>
          <w:bCs/>
          <w:kern w:val="0"/>
          <w:sz w:val="28"/>
          <w:szCs w:val="28"/>
        </w:rPr>
        <w:t>。</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2、安装</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款项分期支付，所有货物到货成交供应商完成所有安装达到使用状态后经采购人验收合格</w:t>
      </w:r>
      <w:r>
        <w:rPr>
          <w:rFonts w:hint="eastAsia" w:ascii="宋体" w:hAnsi="宋体" w:cs="宋体"/>
          <w:color w:val="auto"/>
          <w:kern w:val="0"/>
          <w:sz w:val="28"/>
          <w:szCs w:val="28"/>
          <w:lang w:val="en-US" w:eastAsia="zh-CN"/>
        </w:rPr>
        <w:t>，采购人向其支付合同价款的95%，余下5%作为尾款在验收合格1年后无息支付，采用电汇方式结算，成交供应商提供正规增值税发票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4、报价要求：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14:paraId="0864D6B4">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5、合同期内具体数量以甲方需求为准，甲方需求少于合同总量时乙方不得以任何理由要求甲方按合同数量接纳货物，甲方需求大于合同总量时，多余货物按合同单价执行。</w:t>
      </w:r>
    </w:p>
    <w:p w14:paraId="11C5DB05">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6、质保期：1年，保修期内出现质量问题，成交供应商接到维修通知后2小时内到达现场免费处理，24小时内处置完毕。</w:t>
      </w:r>
    </w:p>
    <w:p w14:paraId="6CFEC5D2">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7、成交供应商应保证每半年至少一次上门回访、维护检修。</w:t>
      </w:r>
    </w:p>
    <w:p w14:paraId="695C7992">
      <w:pPr>
        <w:pStyle w:val="4"/>
        <w:spacing w:after="0"/>
        <w:ind w:firstLine="560"/>
        <w:rPr>
          <w:rFonts w:hint="default" w:cs="宋体"/>
          <w:kern w:val="0"/>
          <w:sz w:val="28"/>
          <w:szCs w:val="28"/>
          <w:lang w:val="en-US" w:eastAsia="zh-CN" w:bidi="ar-SA"/>
        </w:rPr>
      </w:pPr>
      <w:r>
        <w:rPr>
          <w:rFonts w:hint="eastAsia" w:cs="宋体"/>
          <w:kern w:val="0"/>
          <w:sz w:val="28"/>
          <w:szCs w:val="28"/>
          <w:lang w:val="en-US" w:eastAsia="zh-CN" w:bidi="ar-SA"/>
        </w:rPr>
        <w:t>8、质保期内维修或更换配件后，该部分质保期相应顺延。</w:t>
      </w:r>
    </w:p>
    <w:p w14:paraId="3EB26A2F">
      <w:pPr>
        <w:pStyle w:val="4"/>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 xml:space="preserve">   9、成交供应商负责免费对采购人设备管理人员进行相应技术培训。</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228D32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537"/>
      <w:bookmarkStart w:id="2" w:name="_Toc456291280"/>
      <w:bookmarkStart w:id="3" w:name="_Toc456291260"/>
      <w:bookmarkStart w:id="4" w:name="_Toc456291165"/>
      <w:bookmarkStart w:id="5" w:name="_Toc462487372"/>
      <w:bookmarkStart w:id="6" w:name="_Toc456291479"/>
      <w:bookmarkStart w:id="7" w:name="_Toc456291354"/>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296417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0EEF08E5">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0CB49BBC">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2467C500">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23C9261C"/>
    <w:rsid w:val="26284A18"/>
    <w:rsid w:val="26EB14F0"/>
    <w:rsid w:val="2DE3362E"/>
    <w:rsid w:val="39697B2E"/>
    <w:rsid w:val="5BD86308"/>
    <w:rsid w:val="5D111C3D"/>
    <w:rsid w:val="68251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3797</Words>
  <Characters>4097</Characters>
  <Lines>31</Lines>
  <Paragraphs>8</Paragraphs>
  <TotalTime>0</TotalTime>
  <ScaleCrop>false</ScaleCrop>
  <LinksUpToDate>false</LinksUpToDate>
  <CharactersWithSpaces>4896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2024-11-19T01:51:39Z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47DD21ED9C144E63AE3A987446BD1BDB_13</vt:lpwstr>
  </property>
</Properties>
</file>