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3CBE6">
      <w:pPr>
        <w:pStyle w:val="11"/>
        <w:shd w:val="clear" w:color="auto" w:fill="FFFFFF"/>
        <w:spacing w:before="0" w:beforeAutospacing="0" w:after="0" w:afterAutospacing="0"/>
        <w:jc w:val="center"/>
        <w:rPr>
          <w:rStyle w:val="16"/>
          <w:rFonts w:ascii="黑体" w:hAnsi="黑体" w:eastAsia="黑体" w:cs="黑体"/>
          <w:sz w:val="44"/>
          <w:szCs w:val="44"/>
          <w:highlight w:val="none"/>
        </w:rPr>
      </w:pPr>
      <w:bookmarkStart w:id="8" w:name="_GoBack"/>
      <w:r>
        <w:rPr>
          <w:rStyle w:val="16"/>
          <w:rFonts w:hint="eastAsia" w:ascii="黑体" w:hAnsi="黑体" w:eastAsia="黑体" w:cs="黑体"/>
          <w:sz w:val="44"/>
          <w:szCs w:val="44"/>
          <w:highlight w:val="none"/>
        </w:rPr>
        <w:t>宜昌市</w:t>
      </w:r>
      <w:r>
        <w:rPr>
          <w:rStyle w:val="16"/>
          <w:rFonts w:ascii="黑体" w:hAnsi="黑体" w:eastAsia="黑体" w:cs="黑体"/>
          <w:sz w:val="44"/>
          <w:szCs w:val="44"/>
          <w:highlight w:val="none"/>
        </w:rPr>
        <w:t>中心人民医院</w:t>
      </w:r>
    </w:p>
    <w:p w14:paraId="6FA2096D">
      <w:pPr>
        <w:pStyle w:val="11"/>
        <w:shd w:val="clear" w:color="auto" w:fill="FFFFFF"/>
        <w:spacing w:before="0" w:beforeAutospacing="0" w:after="0" w:afterAutospacing="0"/>
        <w:jc w:val="center"/>
        <w:rPr>
          <w:rStyle w:val="16"/>
          <w:rFonts w:ascii="黑体" w:hAnsi="黑体" w:eastAsia="黑体" w:cs="黑体"/>
          <w:sz w:val="44"/>
          <w:szCs w:val="44"/>
          <w:highlight w:val="none"/>
        </w:rPr>
      </w:pPr>
      <w:r>
        <w:rPr>
          <w:rStyle w:val="16"/>
          <w:rFonts w:hint="eastAsia" w:ascii="黑体" w:hAnsi="黑体" w:eastAsia="黑体" w:cs="黑体"/>
          <w:sz w:val="44"/>
          <w:szCs w:val="44"/>
          <w:highlight w:val="none"/>
        </w:rPr>
        <w:t>院内</w:t>
      </w:r>
      <w:r>
        <w:rPr>
          <w:rStyle w:val="16"/>
          <w:rFonts w:ascii="黑体" w:hAnsi="黑体" w:eastAsia="黑体" w:cs="黑体"/>
          <w:sz w:val="44"/>
          <w:szCs w:val="44"/>
          <w:highlight w:val="none"/>
        </w:rPr>
        <w:t>采购项目采购公告</w:t>
      </w:r>
    </w:p>
    <w:p w14:paraId="36507BDB">
      <w:pPr>
        <w:pStyle w:val="11"/>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宜昌市中心人民医院技术中台运维服务项目</w:t>
      </w:r>
      <w:r>
        <w:rPr>
          <w:rFonts w:hint="eastAsia"/>
          <w:color w:val="000000"/>
          <w:sz w:val="28"/>
          <w:szCs w:val="28"/>
          <w:highlight w:val="none"/>
        </w:rPr>
        <w:t>进</w:t>
      </w:r>
      <w:r>
        <w:rPr>
          <w:rFonts w:hint="eastAsia"/>
          <w:sz w:val="28"/>
          <w:szCs w:val="28"/>
          <w:highlight w:val="none"/>
        </w:rPr>
        <w:t>行院内采购，欢迎广大符合条件的投标人踊跃投标。</w:t>
      </w:r>
    </w:p>
    <w:p w14:paraId="48AC51B5">
      <w:pPr>
        <w:pStyle w:val="11"/>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15C75BBB">
      <w:pPr>
        <w:pStyle w:val="11"/>
        <w:shd w:val="clear" w:color="auto" w:fill="FFFFFF"/>
        <w:spacing w:before="0" w:beforeAutospacing="0" w:after="0" w:afterAutospacing="0"/>
        <w:ind w:firstLine="645"/>
        <w:rPr>
          <w:rFonts w:cs="Times New Roman"/>
          <w:sz w:val="28"/>
          <w:szCs w:val="28"/>
          <w:highlight w:val="none"/>
        </w:rPr>
      </w:pPr>
      <w:r>
        <w:rPr>
          <w:sz w:val="28"/>
          <w:szCs w:val="28"/>
          <w:highlight w:val="none"/>
        </w:rPr>
        <w:t>1</w:t>
      </w:r>
      <w:r>
        <w:rPr>
          <w:rFonts w:hint="eastAsia"/>
          <w:sz w:val="28"/>
          <w:szCs w:val="28"/>
          <w:highlight w:val="none"/>
        </w:rPr>
        <w:t>、项目编号：YCZXYYZB-2025-A3040</w:t>
      </w:r>
    </w:p>
    <w:p w14:paraId="1C16D9A5">
      <w:pPr>
        <w:pStyle w:val="11"/>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、项目名称：宜昌市中心人民医院技术中台运维服务项目</w:t>
      </w:r>
      <w:r>
        <w:rPr>
          <w:rFonts w:ascii="Windings2" w:hAnsi="Windings2"/>
          <w:color w:val="000000"/>
          <w:sz w:val="28"/>
          <w:szCs w:val="28"/>
          <w:highlight w:val="none"/>
        </w:rPr>
        <w:t>·</w:t>
      </w:r>
    </w:p>
    <w:p w14:paraId="33A85813">
      <w:pPr>
        <w:pStyle w:val="11"/>
        <w:shd w:val="clear" w:color="auto" w:fill="FFFFFF"/>
        <w:spacing w:before="0" w:beforeAutospacing="0" w:after="0" w:afterAutospacing="0"/>
        <w:rPr>
          <w:rFonts w:cs="Times New Roman"/>
          <w:sz w:val="28"/>
          <w:szCs w:val="28"/>
          <w:highlight w:val="none"/>
        </w:rPr>
      </w:pPr>
      <w:r>
        <w:rPr>
          <w:rStyle w:val="16"/>
          <w:rFonts w:hint="eastAsia"/>
          <w:sz w:val="28"/>
          <w:szCs w:val="28"/>
          <w:highlight w:val="none"/>
        </w:rPr>
        <w:t>二、采购文件获取</w:t>
      </w:r>
    </w:p>
    <w:p w14:paraId="5C478F2B">
      <w:pPr>
        <w:pStyle w:val="11"/>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投标人在宜昌市中心人民医院官网（https://www.yczxyy.com/）通知通告</w:t>
      </w:r>
      <w:r>
        <w:rPr>
          <w:sz w:val="28"/>
          <w:szCs w:val="28"/>
          <w:highlight w:val="none"/>
        </w:rPr>
        <w:t>——</w:t>
      </w:r>
      <w:r>
        <w:rPr>
          <w:rFonts w:hint="eastAsia"/>
          <w:sz w:val="28"/>
          <w:szCs w:val="28"/>
          <w:highlight w:val="none"/>
        </w:rPr>
        <w:t>招标信息栏</w:t>
      </w:r>
      <w:r>
        <w:rPr>
          <w:rFonts w:hint="eastAsia"/>
          <w:b/>
          <w:bCs/>
          <w:color w:val="FF0000"/>
          <w:sz w:val="28"/>
          <w:szCs w:val="28"/>
          <w:highlight w:val="none"/>
        </w:rPr>
        <w:t>自行下载采购文件</w:t>
      </w:r>
      <w:r>
        <w:rPr>
          <w:rFonts w:hint="eastAsia"/>
          <w:sz w:val="28"/>
          <w:szCs w:val="28"/>
          <w:highlight w:val="none"/>
        </w:rPr>
        <w:t>。</w:t>
      </w:r>
    </w:p>
    <w:p w14:paraId="404C3C4A">
      <w:pPr>
        <w:pStyle w:val="11"/>
        <w:shd w:val="clear" w:color="auto" w:fill="FFFFFF"/>
        <w:spacing w:before="0" w:beforeAutospacing="0" w:after="0" w:afterAutospacing="0"/>
        <w:rPr>
          <w:rFonts w:cs="Times New Roman"/>
          <w:sz w:val="28"/>
          <w:szCs w:val="28"/>
          <w:highlight w:val="none"/>
        </w:rPr>
      </w:pPr>
      <w:r>
        <w:rPr>
          <w:rStyle w:val="16"/>
          <w:rFonts w:hint="eastAsia"/>
          <w:sz w:val="28"/>
          <w:szCs w:val="28"/>
          <w:highlight w:val="none"/>
        </w:rPr>
        <w:t>三、投标文件递交</w:t>
      </w:r>
    </w:p>
    <w:p w14:paraId="47B1AA4A">
      <w:pPr>
        <w:pStyle w:val="11"/>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 xml:space="preserve"> </w:t>
      </w:r>
      <w:r>
        <w:rPr>
          <w:rFonts w:hint="eastAsia"/>
          <w:color w:val="FF0000"/>
          <w:sz w:val="28"/>
          <w:szCs w:val="28"/>
          <w:highlight w:val="none"/>
          <w:lang w:eastAsia="zh-CN"/>
        </w:rPr>
        <w:t>：</w:t>
      </w:r>
      <w:r>
        <w:rPr>
          <w:rFonts w:hint="eastAsia"/>
          <w:color w:val="FF0000"/>
          <w:sz w:val="28"/>
          <w:szCs w:val="28"/>
          <w:highlight w:val="none"/>
          <w:lang w:val="en-US" w:eastAsia="zh-CN"/>
        </w:rPr>
        <w:t>2025年10月17日9:00</w:t>
      </w:r>
      <w:r>
        <w:rPr>
          <w:color w:val="FF0000"/>
          <w:sz w:val="28"/>
          <w:szCs w:val="28"/>
          <w:highlight w:val="none"/>
        </w:rPr>
        <w:t xml:space="preserve">     </w:t>
      </w:r>
    </w:p>
    <w:p w14:paraId="05DEB6B2">
      <w:pPr>
        <w:pStyle w:val="11"/>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4C138E06">
      <w:pPr>
        <w:pStyle w:val="11"/>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253C6156">
      <w:pPr>
        <w:pStyle w:val="11"/>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186EDBF6">
      <w:pPr>
        <w:pStyle w:val="11"/>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6FF93D4A">
      <w:pPr>
        <w:pStyle w:val="11"/>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47B12051">
      <w:pPr>
        <w:pStyle w:val="11"/>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rPr>
        <w:t>中心医院9号楼3楼310室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1319492">
      <w:pPr>
        <w:pStyle w:val="11"/>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161D9A61">
      <w:pPr>
        <w:pStyle w:val="11"/>
        <w:shd w:val="clear" w:color="auto" w:fill="FFFFFF"/>
        <w:spacing w:before="0" w:beforeAutospacing="0" w:after="0" w:afterAutospacing="0"/>
        <w:rPr>
          <w:rFonts w:cs="Times New Roman"/>
          <w:sz w:val="28"/>
          <w:szCs w:val="28"/>
          <w:highlight w:val="none"/>
        </w:rPr>
      </w:pPr>
      <w:r>
        <w:rPr>
          <w:rStyle w:val="16"/>
          <w:rFonts w:hint="eastAsia"/>
          <w:sz w:val="28"/>
          <w:szCs w:val="28"/>
          <w:highlight w:val="none"/>
        </w:rPr>
        <w:t>四、发布公告媒介</w:t>
      </w:r>
    </w:p>
    <w:p w14:paraId="08B8401A">
      <w:pPr>
        <w:pStyle w:val="11"/>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本次公告仅在宜昌市中心人民医院官网（https://www.yczxyy.com/）上发布，信息以本网站发布为准。</w:t>
      </w:r>
    </w:p>
    <w:p w14:paraId="1F7FD627">
      <w:pPr>
        <w:pStyle w:val="11"/>
        <w:shd w:val="clear" w:color="auto" w:fill="FFFFFF"/>
        <w:spacing w:before="0" w:beforeAutospacing="0" w:after="0" w:afterAutospacing="0"/>
        <w:rPr>
          <w:rFonts w:cs="Times New Roman"/>
          <w:sz w:val="28"/>
          <w:szCs w:val="28"/>
          <w:highlight w:val="none"/>
        </w:rPr>
      </w:pPr>
      <w:r>
        <w:rPr>
          <w:rStyle w:val="16"/>
          <w:rFonts w:hint="eastAsia"/>
          <w:sz w:val="28"/>
          <w:szCs w:val="28"/>
          <w:highlight w:val="none"/>
        </w:rPr>
        <w:t>五、联系方式</w:t>
      </w:r>
    </w:p>
    <w:p w14:paraId="06474C32">
      <w:pPr>
        <w:pStyle w:val="11"/>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w:t>
      </w:r>
      <w:r>
        <w:rPr>
          <w:sz w:val="28"/>
          <w:szCs w:val="28"/>
          <w:highlight w:val="none"/>
        </w:rPr>
        <w:t xml:space="preserve"> </w:t>
      </w:r>
      <w:r>
        <w:rPr>
          <w:rFonts w:hint="eastAsia"/>
          <w:sz w:val="28"/>
          <w:szCs w:val="28"/>
          <w:highlight w:val="none"/>
        </w:rPr>
        <w:t>购</w:t>
      </w:r>
      <w:r>
        <w:rPr>
          <w:sz w:val="28"/>
          <w:szCs w:val="28"/>
          <w:highlight w:val="none"/>
        </w:rPr>
        <w:t xml:space="preserve"> </w:t>
      </w:r>
      <w:r>
        <w:rPr>
          <w:rFonts w:hint="eastAsia"/>
          <w:sz w:val="28"/>
          <w:szCs w:val="28"/>
          <w:highlight w:val="none"/>
        </w:rPr>
        <w:t>人：宜昌市中心人民医院</w:t>
      </w:r>
    </w:p>
    <w:p w14:paraId="7842CC37">
      <w:pPr>
        <w:pStyle w:val="11"/>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35A140B5">
      <w:pPr>
        <w:pStyle w:val="11"/>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w:t>
      </w:r>
      <w:r>
        <w:rPr>
          <w:sz w:val="28"/>
          <w:szCs w:val="28"/>
          <w:highlight w:val="none"/>
        </w:rPr>
        <w:t xml:space="preserve"> </w:t>
      </w:r>
      <w:r>
        <w:rPr>
          <w:rFonts w:hint="eastAsia"/>
          <w:sz w:val="28"/>
          <w:szCs w:val="28"/>
          <w:highlight w:val="none"/>
        </w:rPr>
        <w:t>系</w:t>
      </w:r>
      <w:r>
        <w:rPr>
          <w:sz w:val="28"/>
          <w:szCs w:val="28"/>
          <w:highlight w:val="none"/>
        </w:rPr>
        <w:t xml:space="preserve"> </w:t>
      </w:r>
      <w:r>
        <w:rPr>
          <w:rFonts w:hint="eastAsia"/>
          <w:sz w:val="28"/>
          <w:szCs w:val="28"/>
          <w:highlight w:val="none"/>
        </w:rPr>
        <w:t>人：尹老师</w:t>
      </w:r>
      <w:r>
        <w:rPr>
          <w:sz w:val="28"/>
          <w:szCs w:val="28"/>
          <w:highlight w:val="none"/>
        </w:rPr>
        <w:t>/</w:t>
      </w:r>
      <w:r>
        <w:rPr>
          <w:rFonts w:hint="eastAsia"/>
          <w:sz w:val="28"/>
          <w:szCs w:val="28"/>
          <w:highlight w:val="none"/>
        </w:rPr>
        <w:t>高老师</w:t>
      </w:r>
    </w:p>
    <w:p w14:paraId="56F78459">
      <w:pPr>
        <w:pStyle w:val="11"/>
        <w:shd w:val="clear" w:color="auto" w:fill="FFFFFF"/>
        <w:spacing w:before="0" w:beforeAutospacing="0" w:after="0" w:afterAutospacing="0"/>
        <w:jc w:val="center"/>
        <w:rPr>
          <w:sz w:val="28"/>
          <w:szCs w:val="28"/>
          <w:highlight w:val="none"/>
        </w:rPr>
      </w:pPr>
      <w:r>
        <w:rPr>
          <w:rFonts w:hint="eastAsia"/>
          <w:sz w:val="28"/>
          <w:szCs w:val="28"/>
          <w:highlight w:val="none"/>
        </w:rPr>
        <w:t>联系电话：</w:t>
      </w:r>
      <w:r>
        <w:rPr>
          <w:sz w:val="28"/>
          <w:szCs w:val="28"/>
          <w:highlight w:val="none"/>
        </w:rPr>
        <w:t>0717-6483506 1557</w:t>
      </w:r>
      <w:r>
        <w:rPr>
          <w:rFonts w:hint="eastAsia"/>
          <w:sz w:val="28"/>
          <w:szCs w:val="28"/>
          <w:highlight w:val="none"/>
        </w:rPr>
        <w:t>1717182</w:t>
      </w:r>
      <w:r>
        <w:rPr>
          <w:sz w:val="28"/>
          <w:szCs w:val="28"/>
          <w:highlight w:val="none"/>
        </w:rPr>
        <w:t>/</w:t>
      </w:r>
      <w:r>
        <w:rPr>
          <w:rFonts w:hint="eastAsia"/>
          <w:sz w:val="28"/>
          <w:szCs w:val="28"/>
          <w:highlight w:val="none"/>
        </w:rPr>
        <w:t>0717-6227301</w:t>
      </w:r>
    </w:p>
    <w:p w14:paraId="06719B79">
      <w:pPr>
        <w:pStyle w:val="11"/>
        <w:shd w:val="clear" w:color="auto" w:fill="FFFFFF"/>
        <w:spacing w:before="0" w:beforeAutospacing="0" w:after="0" w:afterAutospacing="0"/>
        <w:jc w:val="center"/>
        <w:rPr>
          <w:sz w:val="28"/>
          <w:szCs w:val="28"/>
          <w:highlight w:val="none"/>
        </w:rPr>
      </w:pPr>
    </w:p>
    <w:bookmarkEnd w:id="8"/>
    <w:p w14:paraId="1BB8F1B3">
      <w:pPr>
        <w:pStyle w:val="11"/>
        <w:shd w:val="clear" w:color="auto" w:fill="FFFFFF"/>
        <w:spacing w:before="0" w:beforeAutospacing="0" w:after="0" w:afterAutospacing="0"/>
        <w:jc w:val="center"/>
        <w:rPr>
          <w:sz w:val="28"/>
          <w:szCs w:val="28"/>
          <w:highlight w:val="none"/>
        </w:rPr>
      </w:pPr>
    </w:p>
    <w:p w14:paraId="73C42A8F">
      <w:pPr>
        <w:pStyle w:val="11"/>
        <w:shd w:val="clear" w:color="auto" w:fill="FFFFFF"/>
        <w:spacing w:before="0" w:beforeAutospacing="0" w:after="0" w:afterAutospacing="0"/>
        <w:jc w:val="center"/>
        <w:rPr>
          <w:rStyle w:val="16"/>
          <w:rFonts w:ascii="黑体" w:hAnsi="黑体" w:eastAsia="黑体"/>
          <w:sz w:val="44"/>
          <w:szCs w:val="44"/>
          <w:highlight w:val="none"/>
        </w:rPr>
      </w:pPr>
    </w:p>
    <w:p w14:paraId="5A729BC6">
      <w:pPr>
        <w:pStyle w:val="11"/>
        <w:shd w:val="clear" w:color="auto" w:fill="FFFFFF"/>
        <w:spacing w:before="0" w:beforeAutospacing="0" w:after="0" w:afterAutospacing="0"/>
        <w:jc w:val="center"/>
        <w:rPr>
          <w:rStyle w:val="16"/>
          <w:rFonts w:ascii="黑体" w:hAnsi="黑体" w:eastAsia="黑体"/>
          <w:sz w:val="44"/>
          <w:szCs w:val="44"/>
          <w:highlight w:val="none"/>
        </w:rPr>
      </w:pPr>
    </w:p>
    <w:p w14:paraId="0DDF6596">
      <w:pPr>
        <w:pStyle w:val="11"/>
        <w:shd w:val="clear" w:color="auto" w:fill="FFFFFF"/>
        <w:spacing w:before="0" w:beforeAutospacing="0" w:after="0" w:afterAutospacing="0"/>
        <w:jc w:val="center"/>
        <w:rPr>
          <w:rStyle w:val="16"/>
          <w:rFonts w:ascii="黑体" w:hAnsi="黑体" w:eastAsia="黑体"/>
          <w:sz w:val="44"/>
          <w:szCs w:val="44"/>
          <w:highlight w:val="none"/>
        </w:rPr>
      </w:pPr>
    </w:p>
    <w:p w14:paraId="5FFCFAF7">
      <w:pPr>
        <w:pStyle w:val="11"/>
        <w:shd w:val="clear" w:color="auto" w:fill="FFFFFF"/>
        <w:spacing w:before="0" w:beforeAutospacing="0" w:after="0" w:afterAutospacing="0"/>
        <w:jc w:val="center"/>
        <w:rPr>
          <w:rStyle w:val="16"/>
          <w:rFonts w:ascii="黑体" w:hAnsi="黑体" w:eastAsia="黑体"/>
          <w:sz w:val="44"/>
          <w:szCs w:val="44"/>
          <w:highlight w:val="none"/>
        </w:rPr>
      </w:pPr>
    </w:p>
    <w:p w14:paraId="0FA15347">
      <w:pPr>
        <w:pStyle w:val="11"/>
        <w:shd w:val="clear" w:color="auto" w:fill="FFFFFF"/>
        <w:spacing w:before="0" w:beforeAutospacing="0" w:after="0" w:afterAutospacing="0"/>
        <w:jc w:val="center"/>
        <w:rPr>
          <w:rStyle w:val="16"/>
          <w:rFonts w:ascii="黑体" w:hAnsi="黑体" w:eastAsia="黑体"/>
          <w:sz w:val="44"/>
          <w:szCs w:val="44"/>
          <w:highlight w:val="none"/>
        </w:rPr>
      </w:pPr>
    </w:p>
    <w:p w14:paraId="00CF8FD6">
      <w:pPr>
        <w:pStyle w:val="11"/>
        <w:shd w:val="clear" w:color="auto" w:fill="FFFFFF"/>
        <w:spacing w:before="0" w:beforeAutospacing="0" w:after="0" w:afterAutospacing="0"/>
        <w:jc w:val="center"/>
        <w:rPr>
          <w:rStyle w:val="16"/>
          <w:rFonts w:ascii="黑体" w:hAnsi="黑体" w:eastAsia="黑体" w:cs="黑体"/>
          <w:sz w:val="44"/>
          <w:szCs w:val="44"/>
          <w:highlight w:val="none"/>
        </w:rPr>
      </w:pPr>
      <w:r>
        <w:rPr>
          <w:rStyle w:val="16"/>
          <w:rFonts w:hint="eastAsia" w:ascii="黑体" w:hAnsi="黑体" w:eastAsia="黑体"/>
          <w:sz w:val="44"/>
          <w:szCs w:val="44"/>
          <w:highlight w:val="none"/>
        </w:rPr>
        <w:t>宜昌市中心人民医院</w:t>
      </w:r>
    </w:p>
    <w:p w14:paraId="35CDB260">
      <w:pPr>
        <w:pStyle w:val="11"/>
        <w:shd w:val="clear" w:color="auto" w:fill="FFFFFF"/>
        <w:spacing w:before="0" w:beforeAutospacing="0" w:after="0" w:afterAutospacing="0"/>
        <w:jc w:val="center"/>
        <w:rPr>
          <w:rStyle w:val="16"/>
          <w:rFonts w:ascii="黑体" w:hAnsi="黑体" w:eastAsia="黑体" w:cs="黑体"/>
          <w:sz w:val="44"/>
          <w:szCs w:val="44"/>
          <w:highlight w:val="none"/>
        </w:rPr>
      </w:pPr>
      <w:r>
        <w:rPr>
          <w:rStyle w:val="16"/>
          <w:rFonts w:hint="eastAsia" w:ascii="黑体" w:hAnsi="黑体" w:eastAsia="黑体"/>
          <w:sz w:val="44"/>
          <w:szCs w:val="44"/>
          <w:highlight w:val="none"/>
        </w:rPr>
        <w:t>采购文件</w:t>
      </w:r>
    </w:p>
    <w:p w14:paraId="2F40D81B">
      <w:pPr>
        <w:pStyle w:val="12"/>
        <w:jc w:val="left"/>
        <w:rPr>
          <w:rFonts w:cs="Times New Roman"/>
          <w:highlight w:val="none"/>
        </w:rPr>
      </w:pPr>
      <w:r>
        <w:rPr>
          <w:rFonts w:hint="eastAsia"/>
          <w:highlight w:val="none"/>
        </w:rPr>
        <w:t>一、采购内容</w:t>
      </w:r>
    </w:p>
    <w:p w14:paraId="65AF50D5">
      <w:pPr>
        <w:ind w:firstLine="560" w:firstLineChars="200"/>
        <w:rPr>
          <w:rFonts w:ascii="宋体" w:hAns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、项目编号：YCZXYYZB-2025-A3040</w:t>
      </w:r>
    </w:p>
    <w:p w14:paraId="11BCF118">
      <w:pPr>
        <w:ind w:firstLine="560" w:firstLineChars="200"/>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、项目名称：宜昌市中心人民医院技术中台运维服务项目</w:t>
      </w:r>
    </w:p>
    <w:p w14:paraId="1879E6E9">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color w:val="FF0000"/>
          <w:kern w:val="0"/>
          <w:sz w:val="28"/>
          <w:szCs w:val="28"/>
          <w:highlight w:val="none"/>
        </w:rPr>
        <w:t>150000</w:t>
      </w:r>
      <w:r>
        <w:rPr>
          <w:rFonts w:hint="eastAsia" w:ascii="宋体" w:hAnsi="宋体" w:cs="宋体"/>
          <w:kern w:val="0"/>
          <w:sz w:val="28"/>
          <w:szCs w:val="28"/>
          <w:highlight w:val="none"/>
        </w:rPr>
        <w:t>元，超过此价格为无效投标。</w:t>
      </w:r>
      <w:r>
        <w:rPr>
          <w:rFonts w:hint="eastAsia" w:ascii="宋体" w:hAnsi="宋体" w:cs="宋体"/>
          <w:b/>
          <w:kern w:val="0"/>
          <w:sz w:val="28"/>
          <w:szCs w:val="28"/>
          <w:highlight w:val="none"/>
        </w:rPr>
        <w:t>资格性和符合性审查合格后，根据</w:t>
      </w:r>
      <w:r>
        <w:rPr>
          <w:rFonts w:ascii="宋体" w:hAnsi="宋体" w:cs="宋体"/>
          <w:b/>
          <w:kern w:val="0"/>
          <w:sz w:val="28"/>
          <w:szCs w:val="28"/>
          <w:highlight w:val="none"/>
        </w:rPr>
        <w:t>投标人的商务、技术、价格</w:t>
      </w:r>
      <w:r>
        <w:rPr>
          <w:rFonts w:hint="eastAsia" w:ascii="宋体" w:hAnsi="宋体" w:cs="宋体"/>
          <w:b/>
          <w:kern w:val="0"/>
          <w:sz w:val="28"/>
          <w:szCs w:val="28"/>
          <w:highlight w:val="none"/>
        </w:rPr>
        <w:t>条件</w:t>
      </w:r>
      <w:r>
        <w:rPr>
          <w:rFonts w:ascii="宋体" w:hAnsi="宋体" w:cs="宋体"/>
          <w:b/>
          <w:kern w:val="0"/>
          <w:sz w:val="28"/>
          <w:szCs w:val="28"/>
          <w:highlight w:val="none"/>
        </w:rPr>
        <w:t>综合评审确定</w:t>
      </w:r>
      <w:r>
        <w:rPr>
          <w:rFonts w:hint="eastAsia" w:ascii="宋体" w:hAnsi="宋体" w:cs="宋体"/>
          <w:b/>
          <w:kern w:val="0"/>
          <w:sz w:val="28"/>
          <w:szCs w:val="28"/>
          <w:highlight w:val="none"/>
        </w:rPr>
        <w:t>中标人</w:t>
      </w:r>
      <w:r>
        <w:rPr>
          <w:rFonts w:ascii="宋体" w:hAnsi="宋体" w:cs="宋体"/>
          <w:b/>
          <w:kern w:val="0"/>
          <w:sz w:val="28"/>
          <w:szCs w:val="28"/>
          <w:highlight w:val="none"/>
        </w:rPr>
        <w:t>。</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179C2D2C">
      <w:pPr>
        <w:pStyle w:val="12"/>
        <w:jc w:val="left"/>
        <w:rPr>
          <w:highlight w:val="none"/>
        </w:rPr>
      </w:pPr>
      <w:r>
        <w:rPr>
          <w:rFonts w:hint="eastAsia"/>
          <w:highlight w:val="none"/>
        </w:rPr>
        <w:t>二、项目资格要求</w:t>
      </w:r>
    </w:p>
    <w:p w14:paraId="5D7DB11F">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3A00DEAF">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4E6BB30B">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6CAF61DF">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r>
        <w:rPr>
          <w:rFonts w:hint="eastAsia" w:ascii="宋体" w:hAnsi="宋体" w:cs="宋体"/>
          <w:kern w:val="0"/>
          <w:sz w:val="28"/>
          <w:szCs w:val="28"/>
          <w:highlight w:val="none"/>
        </w:rPr>
        <w:br w:type="textWrapping"/>
      </w:r>
    </w:p>
    <w:p w14:paraId="14C0942D">
      <w:pPr>
        <w:rPr>
          <w:rFonts w:ascii="宋体" w:hAnsi="宋体" w:cs="宋体"/>
          <w:kern w:val="0"/>
          <w:sz w:val="28"/>
          <w:szCs w:val="28"/>
          <w:highlight w:val="none"/>
        </w:rPr>
      </w:pPr>
      <w:r>
        <w:rPr>
          <w:rFonts w:hint="eastAsia" w:ascii="宋体" w:hAnsi="宋体" w:cs="宋体"/>
          <w:kern w:val="0"/>
          <w:sz w:val="28"/>
          <w:szCs w:val="28"/>
          <w:highlight w:val="none"/>
        </w:rPr>
        <w:br w:type="page"/>
      </w:r>
    </w:p>
    <w:p w14:paraId="392A0970">
      <w:pPr>
        <w:pStyle w:val="12"/>
        <w:jc w:val="left"/>
        <w:rPr>
          <w:highlight w:val="none"/>
        </w:rPr>
      </w:pPr>
      <w:r>
        <w:rPr>
          <w:rFonts w:hint="eastAsia"/>
          <w:highlight w:val="none"/>
        </w:rPr>
        <w:t>三、采购需求</w:t>
      </w:r>
    </w:p>
    <w:p w14:paraId="25DA2315">
      <w:pPr>
        <w:pStyle w:val="3"/>
        <w:rPr>
          <w:highlight w:val="none"/>
        </w:rPr>
      </w:pPr>
      <w:r>
        <w:rPr>
          <w:rFonts w:hint="eastAsia"/>
          <w:highlight w:val="none"/>
        </w:rPr>
        <w:t>3.1项目</w:t>
      </w:r>
      <w:r>
        <w:rPr>
          <w:highlight w:val="none"/>
        </w:rPr>
        <w:t>概况</w:t>
      </w:r>
    </w:p>
    <w:p w14:paraId="4151D459">
      <w:pPr>
        <w:ind w:firstLine="420"/>
        <w:rPr>
          <w:sz w:val="28"/>
          <w:szCs w:val="28"/>
          <w:highlight w:val="none"/>
        </w:rPr>
      </w:pPr>
      <w:r>
        <w:rPr>
          <w:rFonts w:hint="eastAsia"/>
          <w:sz w:val="28"/>
          <w:szCs w:val="28"/>
          <w:highlight w:val="none"/>
        </w:rPr>
        <w:t>宜昌市中心人民医院技术中台是支撑我院门诊医生站、住院医生站、病历书写、患者诊疗全景视图等核心业务容器服务的基础架构，自上线以来已稳定运行1年，随着部署在技术中台上的业务系统容器服务及系统使用请求量持续增长，系统复杂性显著提升，亟需技术中台系统服务商提供专业技术支持，来保障核心业务连续性。</w:t>
      </w:r>
    </w:p>
    <w:p w14:paraId="492C7678">
      <w:pPr>
        <w:pStyle w:val="3"/>
        <w:rPr>
          <w:highlight w:val="none"/>
        </w:rPr>
      </w:pPr>
      <w:r>
        <w:rPr>
          <w:rFonts w:hint="eastAsia"/>
          <w:highlight w:val="none"/>
        </w:rPr>
        <w:t>3</w:t>
      </w:r>
      <w:r>
        <w:rPr>
          <w:highlight w:val="none"/>
        </w:rPr>
        <w:t>.2</w:t>
      </w:r>
      <w:r>
        <w:rPr>
          <w:rFonts w:hint="eastAsia"/>
          <w:highlight w:val="none"/>
        </w:rPr>
        <w:t>项目服务要求：</w:t>
      </w:r>
    </w:p>
    <w:p w14:paraId="64442833">
      <w:pPr>
        <w:pStyle w:val="4"/>
        <w:rPr>
          <w:rFonts w:hint="eastAsia"/>
          <w:highlight w:val="none"/>
        </w:rPr>
      </w:pPr>
      <w:r>
        <w:rPr>
          <w:rFonts w:hint="eastAsia"/>
          <w:highlight w:val="none"/>
        </w:rPr>
        <w:t>3</w:t>
      </w:r>
      <w:r>
        <w:rPr>
          <w:highlight w:val="none"/>
        </w:rPr>
        <w:t>.2.1</w:t>
      </w:r>
      <w:r>
        <w:rPr>
          <w:rFonts w:hint="eastAsia"/>
          <w:highlight w:val="none"/>
        </w:rPr>
        <w:t>运维服务范围：</w:t>
      </w:r>
    </w:p>
    <w:p w14:paraId="7C736057">
      <w:pPr>
        <w:pStyle w:val="20"/>
        <w:widowControl/>
        <w:numPr>
          <w:ilvl w:val="0"/>
          <w:numId w:val="1"/>
        </w:numPr>
        <w:spacing w:line="500" w:lineRule="exact"/>
        <w:ind w:firstLineChars="0"/>
        <w:jc w:val="left"/>
        <w:rPr>
          <w:rFonts w:ascii="宋体" w:hAnsi="宋体" w:cs="宋体"/>
          <w:color w:val="000000"/>
          <w:sz w:val="28"/>
          <w:szCs w:val="28"/>
          <w:highlight w:val="none"/>
        </w:rPr>
      </w:pPr>
      <w:r>
        <w:rPr>
          <w:rFonts w:hint="eastAsia" w:ascii="宋体" w:hAnsi="宋体" w:cs="宋体"/>
          <w:color w:val="000000"/>
          <w:sz w:val="28"/>
          <w:szCs w:val="28"/>
          <w:highlight w:val="none"/>
        </w:rPr>
        <w:t>技术中台故障排查</w:t>
      </w:r>
    </w:p>
    <w:p w14:paraId="6D300935">
      <w:pPr>
        <w:widowControl/>
        <w:spacing w:line="500" w:lineRule="exact"/>
        <w:ind w:firstLine="42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在使用宜昌市中心医院技术中台过程中遇到如下情况，可获得相应的技术支持。</w:t>
      </w:r>
    </w:p>
    <w:p w14:paraId="1E59CA6B">
      <w:pPr>
        <w:widowControl/>
        <w:spacing w:line="500" w:lineRule="exact"/>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1)在普通用户使用过程中发生产品故障且当管理员按管理员手册排障无法解决时，包括技术中台界面错误、运行异常、启动失败、技术中台宕机等问题。针对业务容器故障，非技术中台故障或无法定位是否是技术中台故障的问题，提供协助排查服务。</w:t>
      </w:r>
    </w:p>
    <w:p w14:paraId="77720EE1">
      <w:pPr>
        <w:widowControl/>
        <w:spacing w:line="500" w:lineRule="exact"/>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2)系统管理员按操作手册操作而出现不正常结果时，包括技术中台界面错误、运行异常、启动失败、技术中台宕机、存储网络异常、集群异常、监控日志异常等问题。</w:t>
      </w:r>
    </w:p>
    <w:p w14:paraId="05BC52F5">
      <w:pPr>
        <w:widowControl/>
        <w:spacing w:line="500" w:lineRule="exact"/>
        <w:jc w:val="left"/>
        <w:rPr>
          <w:rFonts w:ascii="宋体" w:hAnsi="宋体" w:cs="宋体"/>
          <w:color w:val="000000"/>
          <w:kern w:val="0"/>
          <w:sz w:val="28"/>
          <w:szCs w:val="28"/>
          <w:highlight w:val="none"/>
        </w:rPr>
      </w:pPr>
    </w:p>
    <w:p w14:paraId="26AE378F">
      <w:pPr>
        <w:pStyle w:val="20"/>
        <w:widowControl/>
        <w:numPr>
          <w:ilvl w:val="0"/>
          <w:numId w:val="1"/>
        </w:numPr>
        <w:spacing w:line="500" w:lineRule="exact"/>
        <w:ind w:firstLineChars="0"/>
        <w:jc w:val="left"/>
        <w:rPr>
          <w:rFonts w:ascii="宋体" w:hAnsi="宋体" w:cs="宋体"/>
          <w:color w:val="000000"/>
          <w:sz w:val="28"/>
          <w:szCs w:val="28"/>
          <w:highlight w:val="none"/>
        </w:rPr>
      </w:pPr>
      <w:r>
        <w:rPr>
          <w:rFonts w:hint="eastAsia" w:ascii="宋体" w:hAnsi="宋体" w:cs="宋体"/>
          <w:color w:val="000000"/>
          <w:sz w:val="28"/>
          <w:szCs w:val="28"/>
          <w:highlight w:val="none"/>
        </w:rPr>
        <w:t xml:space="preserve">技术中台使用培训 </w:t>
      </w:r>
    </w:p>
    <w:p w14:paraId="23E9AADC">
      <w:pPr>
        <w:widowControl/>
        <w:spacing w:line="500" w:lineRule="exact"/>
        <w:ind w:firstLine="42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 xml:space="preserve">针对不同的用户层次提供用户培训，保障培训效果，使用户能熟练掌握系统使用。包括普通用户使用培训、管理员使用培训各一次。 </w:t>
      </w:r>
    </w:p>
    <w:p w14:paraId="24270BD4">
      <w:pPr>
        <w:widowControl/>
        <w:spacing w:line="500" w:lineRule="exact"/>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 xml:space="preserve">普通用户： 普通用户层是技术中台的直接使用者，涉及到技术中台的各方面功能，是对系统功能理解最深、业务最熟悉的用户群，针对普通用户做产品使用培训以达到各用户能熟练掌握系统的使用方法。 </w:t>
      </w:r>
    </w:p>
    <w:p w14:paraId="3A0376AB">
      <w:pPr>
        <w:widowControl/>
        <w:spacing w:line="500" w:lineRule="exact"/>
        <w:ind w:firstLine="36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系统管理员：系统管理员为系统进行管理运维人员，系统的运维和管理工作需要熟悉技术中台，并且能处理运行过程中遇到的各类问题，对系统管理员针对性的产品使用培训，主要侧重于常见问题的解决，系统配置等内容。</w:t>
      </w:r>
    </w:p>
    <w:p w14:paraId="624B934A">
      <w:pPr>
        <w:widowControl/>
        <w:spacing w:line="500" w:lineRule="exact"/>
        <w:jc w:val="left"/>
        <w:rPr>
          <w:rFonts w:hint="eastAsia" w:ascii="宋体" w:hAnsi="宋体" w:cs="宋体"/>
          <w:color w:val="000000"/>
          <w:kern w:val="0"/>
          <w:sz w:val="28"/>
          <w:szCs w:val="28"/>
          <w:highlight w:val="none"/>
        </w:rPr>
      </w:pPr>
    </w:p>
    <w:p w14:paraId="2F25AF72">
      <w:pPr>
        <w:pStyle w:val="20"/>
        <w:widowControl/>
        <w:numPr>
          <w:ilvl w:val="0"/>
          <w:numId w:val="1"/>
        </w:numPr>
        <w:spacing w:line="500" w:lineRule="exact"/>
        <w:ind w:firstLineChars="0"/>
        <w:jc w:val="left"/>
        <w:rPr>
          <w:rFonts w:ascii="宋体" w:hAnsi="宋体" w:cs="宋体"/>
          <w:color w:val="000000"/>
          <w:sz w:val="28"/>
          <w:szCs w:val="28"/>
          <w:highlight w:val="none"/>
        </w:rPr>
      </w:pPr>
      <w:r>
        <w:rPr>
          <w:rFonts w:hint="eastAsia" w:ascii="宋体" w:hAnsi="宋体" w:cs="宋体"/>
          <w:color w:val="000000"/>
          <w:sz w:val="28"/>
          <w:szCs w:val="28"/>
          <w:highlight w:val="none"/>
        </w:rPr>
        <w:t>技术中台巡检</w:t>
      </w:r>
    </w:p>
    <w:p w14:paraId="453AC9AF">
      <w:pPr>
        <w:widowControl/>
        <w:spacing w:line="500" w:lineRule="exact"/>
        <w:ind w:firstLine="42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 xml:space="preserve">技术中台巡检是运维实施工程师针对用户环境进行的重要保障措施，主要目的为提前发现系统 中潜在的问题，采取规避手段，为用户技术中台的健康、高效、合理运行提供参考。默认每季度远程巡检一次。 </w:t>
      </w:r>
    </w:p>
    <w:p w14:paraId="52135CFE">
      <w:pPr>
        <w:widowControl/>
        <w:spacing w:line="500" w:lineRule="exact"/>
        <w:ind w:firstLine="42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巡检过程包括主机系统状态检查、</w:t>
      </w:r>
      <w:r>
        <w:rPr>
          <w:rFonts w:ascii="宋体" w:hAnsi="宋体" w:cs="宋体"/>
          <w:color w:val="000000"/>
          <w:kern w:val="0"/>
          <w:sz w:val="28"/>
          <w:szCs w:val="28"/>
          <w:highlight w:val="none"/>
        </w:rPr>
        <w:t xml:space="preserve">TCE </w:t>
      </w:r>
      <w:r>
        <w:rPr>
          <w:rFonts w:hint="eastAsia" w:ascii="宋体" w:hAnsi="宋体" w:cs="宋体"/>
          <w:color w:val="000000"/>
          <w:kern w:val="0"/>
          <w:sz w:val="28"/>
          <w:szCs w:val="28"/>
          <w:highlight w:val="none"/>
        </w:rPr>
        <w:t>控制台界面检查、服务状态检查、实际操作验证、性能验证、数据备份。</w:t>
      </w:r>
    </w:p>
    <w:p w14:paraId="37F1482C">
      <w:pPr>
        <w:widowControl/>
        <w:spacing w:line="500" w:lineRule="exact"/>
        <w:jc w:val="left"/>
        <w:rPr>
          <w:rFonts w:asciiTheme="majorEastAsia" w:hAnsiTheme="majorEastAsia" w:eastAsiaTheme="majorEastAsia"/>
          <w:b/>
          <w:sz w:val="28"/>
          <w:szCs w:val="30"/>
          <w:highlight w:val="none"/>
        </w:rPr>
      </w:pPr>
    </w:p>
    <w:p w14:paraId="6958ED63">
      <w:pPr>
        <w:pStyle w:val="4"/>
        <w:rPr>
          <w:highlight w:val="none"/>
        </w:rPr>
      </w:pPr>
      <w:r>
        <w:rPr>
          <w:rFonts w:hint="eastAsia"/>
          <w:highlight w:val="none"/>
        </w:rPr>
        <w:t>3</w:t>
      </w:r>
      <w:r>
        <w:rPr>
          <w:highlight w:val="none"/>
        </w:rPr>
        <w:t>.2.2</w:t>
      </w:r>
      <w:r>
        <w:rPr>
          <w:rFonts w:hint="eastAsia"/>
          <w:highlight w:val="none"/>
        </w:rPr>
        <w:t>运维</w:t>
      </w:r>
      <w:r>
        <w:rPr>
          <w:highlight w:val="none"/>
        </w:rPr>
        <w:t>服务方式</w:t>
      </w:r>
      <w:r>
        <w:rPr>
          <w:rFonts w:hint="eastAsia"/>
          <w:highlight w:val="none"/>
        </w:rPr>
        <w:t>及</w:t>
      </w:r>
      <w:r>
        <w:rPr>
          <w:highlight w:val="none"/>
        </w:rPr>
        <w:t>响应时间</w:t>
      </w:r>
    </w:p>
    <w:p w14:paraId="1397CB5B">
      <w:pPr>
        <w:pStyle w:val="6"/>
        <w:kinsoku w:val="0"/>
        <w:overflowPunct w:val="0"/>
        <w:spacing w:before="37" w:line="480" w:lineRule="exact"/>
        <w:ind w:right="108" w:firstLine="560" w:firstLineChars="200"/>
        <w:rPr>
          <w:rFonts w:asciiTheme="majorEastAsia" w:hAnsiTheme="majorEastAsia" w:eastAsiaTheme="majorEastAsia"/>
          <w:sz w:val="28"/>
          <w:highlight w:val="none"/>
          <w:lang w:eastAsia="zh-CN"/>
        </w:rPr>
      </w:pPr>
      <w:r>
        <w:rPr>
          <w:rFonts w:hint="eastAsia" w:asciiTheme="majorEastAsia" w:hAnsiTheme="majorEastAsia" w:eastAsiaTheme="majorEastAsia"/>
          <w:sz w:val="28"/>
          <w:szCs w:val="28"/>
          <w:highlight w:val="none"/>
          <w:lang w:eastAsia="zh-CN"/>
        </w:rPr>
        <w:t>1）</w:t>
      </w:r>
      <w:r>
        <w:rPr>
          <w:rFonts w:hint="eastAsia" w:asciiTheme="majorEastAsia" w:hAnsiTheme="majorEastAsia" w:eastAsiaTheme="majorEastAsia"/>
          <w:sz w:val="28"/>
          <w:highlight w:val="none"/>
          <w:lang w:eastAsia="zh-CN"/>
        </w:rPr>
        <w:t>服务商须保持系统运维联系电话</w:t>
      </w:r>
      <w:r>
        <w:rPr>
          <w:rFonts w:asciiTheme="majorEastAsia" w:hAnsiTheme="majorEastAsia" w:eastAsiaTheme="majorEastAsia"/>
          <w:spacing w:val="-51"/>
          <w:sz w:val="28"/>
          <w:highlight w:val="none"/>
          <w:lang w:eastAsia="zh-CN"/>
        </w:rPr>
        <w:t xml:space="preserve"> </w:t>
      </w:r>
      <w:r>
        <w:rPr>
          <w:rFonts w:asciiTheme="majorEastAsia" w:hAnsiTheme="majorEastAsia" w:eastAsiaTheme="majorEastAsia"/>
          <w:sz w:val="28"/>
          <w:highlight w:val="none"/>
          <w:lang w:eastAsia="zh-CN"/>
        </w:rPr>
        <w:t>24</w:t>
      </w:r>
      <w:r>
        <w:rPr>
          <w:rFonts w:asciiTheme="majorEastAsia" w:hAnsiTheme="majorEastAsia" w:eastAsiaTheme="majorEastAsia"/>
          <w:spacing w:val="-51"/>
          <w:sz w:val="28"/>
          <w:highlight w:val="none"/>
          <w:lang w:eastAsia="zh-CN"/>
        </w:rPr>
        <w:t xml:space="preserve"> </w:t>
      </w:r>
      <w:r>
        <w:rPr>
          <w:rFonts w:hint="eastAsia" w:asciiTheme="majorEastAsia" w:hAnsiTheme="majorEastAsia" w:eastAsiaTheme="majorEastAsia"/>
          <w:spacing w:val="-4"/>
          <w:sz w:val="28"/>
          <w:highlight w:val="none"/>
          <w:lang w:eastAsia="zh-CN"/>
        </w:rPr>
        <w:t>小时畅通，保证对采购人提出的服务要求能做到立即响应，当上</w:t>
      </w:r>
      <w:r>
        <w:rPr>
          <w:rFonts w:asciiTheme="majorEastAsia" w:hAnsiTheme="majorEastAsia" w:eastAsiaTheme="majorEastAsia"/>
          <w:spacing w:val="-103"/>
          <w:sz w:val="28"/>
          <w:highlight w:val="none"/>
          <w:lang w:eastAsia="zh-CN"/>
        </w:rPr>
        <w:t xml:space="preserve"> </w:t>
      </w:r>
      <w:r>
        <w:rPr>
          <w:rFonts w:hint="eastAsia" w:asciiTheme="majorEastAsia" w:hAnsiTheme="majorEastAsia" w:eastAsiaTheme="majorEastAsia"/>
          <w:sz w:val="28"/>
          <w:highlight w:val="none"/>
          <w:lang w:eastAsia="zh-CN"/>
        </w:rPr>
        <w:t>述信息系统出现故障时，做到立即远程响应。</w:t>
      </w:r>
    </w:p>
    <w:p w14:paraId="4161141C">
      <w:pPr>
        <w:pStyle w:val="6"/>
        <w:kinsoku w:val="0"/>
        <w:overflowPunct w:val="0"/>
        <w:spacing w:before="37" w:line="480" w:lineRule="exact"/>
        <w:ind w:right="108" w:firstLine="560" w:firstLineChars="200"/>
        <w:rPr>
          <w:rFonts w:asciiTheme="majorEastAsia" w:hAnsiTheme="majorEastAsia" w:eastAsiaTheme="majorEastAsia"/>
          <w:sz w:val="28"/>
          <w:highlight w:val="none"/>
          <w:lang w:eastAsia="zh-CN"/>
        </w:rPr>
      </w:pPr>
      <w:r>
        <w:rPr>
          <w:rFonts w:hint="eastAsia" w:asciiTheme="majorEastAsia" w:hAnsiTheme="majorEastAsia" w:eastAsiaTheme="majorEastAsia"/>
          <w:sz w:val="28"/>
          <w:szCs w:val="28"/>
          <w:highlight w:val="none"/>
          <w:lang w:eastAsia="zh-CN"/>
        </w:rPr>
        <w:t>2）</w:t>
      </w:r>
      <w:r>
        <w:rPr>
          <w:rFonts w:hint="eastAsia" w:asciiTheme="majorEastAsia" w:hAnsiTheme="majorEastAsia" w:eastAsiaTheme="majorEastAsia"/>
          <w:sz w:val="28"/>
          <w:highlight w:val="none"/>
          <w:lang w:eastAsia="zh-CN"/>
        </w:rPr>
        <w:t>系统故障的响应时间：服务商须提供</w:t>
      </w:r>
      <w:r>
        <w:rPr>
          <w:rFonts w:asciiTheme="majorEastAsia" w:hAnsiTheme="majorEastAsia" w:eastAsiaTheme="majorEastAsia"/>
          <w:sz w:val="28"/>
          <w:highlight w:val="none"/>
          <w:lang w:eastAsia="zh-CN"/>
        </w:rPr>
        <w:t>7*24</w:t>
      </w:r>
      <w:r>
        <w:rPr>
          <w:rFonts w:asciiTheme="majorEastAsia" w:hAnsiTheme="majorEastAsia" w:eastAsiaTheme="majorEastAsia"/>
          <w:spacing w:val="-51"/>
          <w:sz w:val="28"/>
          <w:highlight w:val="none"/>
          <w:lang w:eastAsia="zh-CN"/>
        </w:rPr>
        <w:t xml:space="preserve"> </w:t>
      </w:r>
      <w:r>
        <w:rPr>
          <w:rFonts w:hint="eastAsia" w:asciiTheme="majorEastAsia" w:hAnsiTheme="majorEastAsia" w:eastAsiaTheme="majorEastAsia"/>
          <w:spacing w:val="-5"/>
          <w:sz w:val="28"/>
          <w:highlight w:val="none"/>
          <w:lang w:eastAsia="zh-CN"/>
        </w:rPr>
        <w:t>小时技术支持热线电话（固话、手机）。当系统发生故障</w:t>
      </w:r>
      <w:r>
        <w:rPr>
          <w:rFonts w:hint="eastAsia" w:asciiTheme="majorEastAsia" w:hAnsiTheme="majorEastAsia" w:eastAsiaTheme="majorEastAsia"/>
          <w:sz w:val="28"/>
          <w:highlight w:val="none"/>
          <w:lang w:eastAsia="zh-CN"/>
        </w:rPr>
        <w:t>时，自报障时起算，半小时内响应，若远程运维无法解决，服务商应及时安排人员前往现场处理故</w:t>
      </w:r>
      <w:r>
        <w:rPr>
          <w:rFonts w:asciiTheme="majorEastAsia" w:hAnsiTheme="majorEastAsia" w:eastAsiaTheme="majorEastAsia"/>
          <w:spacing w:val="-71"/>
          <w:sz w:val="28"/>
          <w:highlight w:val="none"/>
          <w:lang w:eastAsia="zh-CN"/>
        </w:rPr>
        <w:t xml:space="preserve"> </w:t>
      </w:r>
      <w:r>
        <w:rPr>
          <w:rFonts w:hint="eastAsia" w:asciiTheme="majorEastAsia" w:hAnsiTheme="majorEastAsia" w:eastAsiaTheme="majorEastAsia"/>
          <w:sz w:val="28"/>
          <w:highlight w:val="none"/>
          <w:lang w:eastAsia="zh-CN"/>
        </w:rPr>
        <w:t>障。</w:t>
      </w:r>
    </w:p>
    <w:p w14:paraId="06DBA873">
      <w:pPr>
        <w:widowControl/>
        <w:spacing w:line="500" w:lineRule="exact"/>
        <w:jc w:val="left"/>
        <w:rPr>
          <w:rFonts w:asciiTheme="majorEastAsia" w:hAnsiTheme="majorEastAsia" w:eastAsiaTheme="majorEastAsia"/>
          <w:b/>
          <w:sz w:val="28"/>
          <w:szCs w:val="30"/>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6"/>
        <w:gridCol w:w="2806"/>
        <w:gridCol w:w="2807"/>
      </w:tblGrid>
      <w:tr w14:paraId="3BCD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806" w:type="dxa"/>
          </w:tcPr>
          <w:p w14:paraId="2F7ADCC0">
            <w:pPr>
              <w:widowControl/>
              <w:spacing w:line="500" w:lineRule="exact"/>
              <w:jc w:val="center"/>
              <w:rPr>
                <w:rFonts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问题等级</w:t>
            </w:r>
          </w:p>
        </w:tc>
        <w:tc>
          <w:tcPr>
            <w:tcW w:w="2806" w:type="dxa"/>
          </w:tcPr>
          <w:p w14:paraId="730C3807">
            <w:pPr>
              <w:widowControl/>
              <w:spacing w:line="500" w:lineRule="exact"/>
              <w:jc w:val="center"/>
              <w:rPr>
                <w:rFonts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定义</w:t>
            </w:r>
          </w:p>
        </w:tc>
        <w:tc>
          <w:tcPr>
            <w:tcW w:w="2807" w:type="dxa"/>
          </w:tcPr>
          <w:p w14:paraId="5F42A14F">
            <w:pPr>
              <w:widowControl/>
              <w:spacing w:line="500" w:lineRule="exact"/>
              <w:jc w:val="center"/>
              <w:rPr>
                <w:rFonts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应对方法</w:t>
            </w:r>
          </w:p>
        </w:tc>
      </w:tr>
      <w:tr w14:paraId="149B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2806" w:type="dxa"/>
            <w:vAlign w:val="center"/>
          </w:tcPr>
          <w:p w14:paraId="2AEB5D8A">
            <w:pPr>
              <w:widowControl/>
              <w:jc w:val="center"/>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重大问题</w:t>
            </w:r>
          </w:p>
          <w:p w14:paraId="58183E95">
            <w:pPr>
              <w:widowControl/>
              <w:spacing w:line="500" w:lineRule="exact"/>
              <w:jc w:val="center"/>
              <w:rPr>
                <w:rFonts w:asciiTheme="majorEastAsia" w:hAnsiTheme="majorEastAsia" w:eastAsiaTheme="majorEastAsia" w:cstheme="majorEastAsia"/>
                <w:sz w:val="28"/>
                <w:szCs w:val="28"/>
                <w:highlight w:val="none"/>
              </w:rPr>
            </w:pPr>
          </w:p>
        </w:tc>
        <w:tc>
          <w:tcPr>
            <w:tcW w:w="2806" w:type="dxa"/>
          </w:tcPr>
          <w:p w14:paraId="7548BA6C">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 xml:space="preserve">主要指系统在运行中出现系统瘫痪或服务中断，导致系统的基本功能不能提供服务。包括不限于，系统停机、系统崩溃、重要功能瘫痪、严重的功能错误、资源死锁、严重安全性等问题。 </w:t>
            </w:r>
          </w:p>
          <w:p w14:paraId="741B2ACF">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例如：系统宕机；系统由于软件自身原因自动退出系统或出现死循环、死机的情况。</w:t>
            </w:r>
          </w:p>
          <w:p w14:paraId="68F57524">
            <w:pPr>
              <w:widowControl/>
              <w:spacing w:line="500" w:lineRule="exact"/>
              <w:jc w:val="left"/>
              <w:rPr>
                <w:rFonts w:asciiTheme="majorEastAsia" w:hAnsiTheme="majorEastAsia" w:eastAsiaTheme="majorEastAsia" w:cstheme="majorEastAsia"/>
                <w:b/>
                <w:sz w:val="28"/>
                <w:szCs w:val="28"/>
                <w:highlight w:val="none"/>
              </w:rPr>
            </w:pPr>
          </w:p>
        </w:tc>
        <w:tc>
          <w:tcPr>
            <w:tcW w:w="2807" w:type="dxa"/>
          </w:tcPr>
          <w:p w14:paraId="4B037E5F">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 xml:space="preserve">采用即时通信方式先反馈项目经理或者实施工程师定位问题，协调资源优先将系统恢复正常运行状态，减少客户损失，再继续协调资源认真分析故障发生的各类因素，及时输出问题根本解决方案并验证直至问题解决，在此期间，工程师须及时关注现场问题状态，并就事件的发展情况 </w:t>
            </w:r>
          </w:p>
          <w:p w14:paraId="24F34097">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与客户保持即时联络。</w:t>
            </w:r>
          </w:p>
          <w:p w14:paraId="0766D5FD">
            <w:pPr>
              <w:widowControl/>
              <w:spacing w:line="500" w:lineRule="exact"/>
              <w:jc w:val="left"/>
              <w:rPr>
                <w:rFonts w:asciiTheme="majorEastAsia" w:hAnsiTheme="majorEastAsia" w:eastAsiaTheme="majorEastAsia" w:cstheme="majorEastAsia"/>
                <w:b/>
                <w:sz w:val="28"/>
                <w:szCs w:val="28"/>
                <w:highlight w:val="none"/>
              </w:rPr>
            </w:pPr>
          </w:p>
        </w:tc>
      </w:tr>
      <w:tr w14:paraId="4941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2806" w:type="dxa"/>
            <w:vAlign w:val="center"/>
          </w:tcPr>
          <w:p w14:paraId="7086EE72">
            <w:pPr>
              <w:widowControl/>
              <w:spacing w:line="500" w:lineRule="exact"/>
              <w:jc w:val="center"/>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一般问题</w:t>
            </w:r>
          </w:p>
        </w:tc>
        <w:tc>
          <w:tcPr>
            <w:tcW w:w="2806" w:type="dxa"/>
          </w:tcPr>
          <w:p w14:paraId="547B8862">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 xml:space="preserve">主要指系统在运行中出现断续或间接地影响系统局部功能和服务的故障。包括不限 </w:t>
            </w:r>
          </w:p>
          <w:p w14:paraId="582F8955">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于，局部的故障、一般错误、安全隐患，但不影响业务运行。</w:t>
            </w:r>
          </w:p>
          <w:p w14:paraId="66F7C23C">
            <w:pPr>
              <w:widowControl/>
              <w:spacing w:line="500" w:lineRule="exact"/>
              <w:jc w:val="left"/>
              <w:rPr>
                <w:rFonts w:asciiTheme="majorEastAsia" w:hAnsiTheme="majorEastAsia" w:eastAsiaTheme="majorEastAsia" w:cstheme="majorEastAsia"/>
                <w:b/>
                <w:sz w:val="28"/>
                <w:szCs w:val="28"/>
                <w:highlight w:val="none"/>
              </w:rPr>
            </w:pPr>
          </w:p>
        </w:tc>
        <w:tc>
          <w:tcPr>
            <w:tcW w:w="2807" w:type="dxa"/>
          </w:tcPr>
          <w:p w14:paraId="03AF91A7">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 xml:space="preserve">服务响应时间 2 小时以内，实施工程师排查故障，跟客户确认此问题状态是否可做线上容忍状态并记录问题，问题解决优先级可适当调整为重要但非紧急，实施工程师按照 </w:t>
            </w:r>
          </w:p>
          <w:p w14:paraId="0B0F55B7">
            <w:pPr>
              <w:widowControl/>
              <w:jc w:val="left"/>
              <w:rPr>
                <w:rFonts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任务优先级解决问题。</w:t>
            </w:r>
          </w:p>
        </w:tc>
      </w:tr>
      <w:tr w14:paraId="0B7E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2806" w:type="dxa"/>
            <w:vAlign w:val="center"/>
          </w:tcPr>
          <w:p w14:paraId="16863E23">
            <w:pPr>
              <w:widowControl/>
              <w:spacing w:line="500" w:lineRule="exact"/>
              <w:jc w:val="center"/>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轻微问题</w:t>
            </w:r>
          </w:p>
        </w:tc>
        <w:tc>
          <w:tcPr>
            <w:tcW w:w="2806" w:type="dxa"/>
          </w:tcPr>
          <w:p w14:paraId="5C6167BA">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主要指系统在运行中出现的告警，潜在影响系统局部功能和服务的故障，但系统可正常运行，包括不限于潜在的问题及文档描述与系统实际操作不一致等问题。</w:t>
            </w:r>
          </w:p>
          <w:p w14:paraId="4CD66D7D">
            <w:pPr>
              <w:widowControl/>
              <w:spacing w:line="500" w:lineRule="exact"/>
              <w:jc w:val="left"/>
              <w:rPr>
                <w:rFonts w:asciiTheme="majorEastAsia" w:hAnsiTheme="majorEastAsia" w:eastAsiaTheme="majorEastAsia" w:cstheme="majorEastAsia"/>
                <w:b/>
                <w:sz w:val="28"/>
                <w:szCs w:val="28"/>
                <w:highlight w:val="none"/>
              </w:rPr>
            </w:pPr>
          </w:p>
        </w:tc>
        <w:tc>
          <w:tcPr>
            <w:tcW w:w="2807" w:type="dxa"/>
          </w:tcPr>
          <w:p w14:paraId="2CF12EFF">
            <w:pPr>
              <w:widowControl/>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333333"/>
                <w:kern w:val="0"/>
                <w:sz w:val="28"/>
                <w:szCs w:val="28"/>
                <w:highlight w:val="none"/>
                <w:lang w:bidi="ar"/>
              </w:rPr>
              <w:t>服务响应时间 2 小时以内，问题解决优先级可适当调整为次要，实施工程师定位问题并与客户协商问题解决方案，最终故障解决结果以客户满意度为导向。</w:t>
            </w:r>
          </w:p>
          <w:p w14:paraId="426A3A55">
            <w:pPr>
              <w:widowControl/>
              <w:spacing w:line="500" w:lineRule="exact"/>
              <w:jc w:val="left"/>
              <w:rPr>
                <w:rFonts w:asciiTheme="majorEastAsia" w:hAnsiTheme="majorEastAsia" w:eastAsiaTheme="majorEastAsia" w:cstheme="majorEastAsia"/>
                <w:b/>
                <w:sz w:val="28"/>
                <w:szCs w:val="28"/>
                <w:highlight w:val="none"/>
              </w:rPr>
            </w:pPr>
          </w:p>
        </w:tc>
      </w:tr>
    </w:tbl>
    <w:p w14:paraId="025135BA">
      <w:pPr>
        <w:widowControl/>
        <w:spacing w:line="500" w:lineRule="exact"/>
        <w:jc w:val="left"/>
        <w:rPr>
          <w:rFonts w:hint="eastAsia" w:ascii="宋体" w:hAnsi="宋体" w:cs="宋体"/>
          <w:color w:val="000000"/>
          <w:kern w:val="0"/>
          <w:sz w:val="28"/>
          <w:szCs w:val="28"/>
          <w:highlight w:val="none"/>
        </w:rPr>
      </w:pPr>
    </w:p>
    <w:p w14:paraId="09CCEB49">
      <w:pPr>
        <w:pStyle w:val="3"/>
        <w:rPr>
          <w:highlight w:val="none"/>
        </w:rPr>
      </w:pPr>
      <w:r>
        <w:rPr>
          <w:rFonts w:hint="eastAsia"/>
          <w:highlight w:val="none"/>
        </w:rPr>
        <w:t>3.</w:t>
      </w:r>
      <w:r>
        <w:rPr>
          <w:highlight w:val="none"/>
        </w:rPr>
        <w:t>3</w:t>
      </w:r>
      <w:r>
        <w:rPr>
          <w:rFonts w:hint="eastAsia"/>
          <w:highlight w:val="none"/>
        </w:rPr>
        <w:t>商务要求</w:t>
      </w:r>
    </w:p>
    <w:p w14:paraId="5445CE5D">
      <w:pPr>
        <w:pStyle w:val="4"/>
        <w:rPr>
          <w:highlight w:val="none"/>
        </w:rPr>
      </w:pPr>
      <w:r>
        <w:rPr>
          <w:highlight w:val="none"/>
        </w:rPr>
        <w:t>（一）交货日期/实施期限</w:t>
      </w:r>
    </w:p>
    <w:p w14:paraId="19A13572">
      <w:pPr>
        <w:widowControl/>
        <w:spacing w:line="500" w:lineRule="exact"/>
        <w:ind w:firstLine="560" w:firstLineChars="200"/>
        <w:jc w:val="left"/>
        <w:rPr>
          <w:rFonts w:ascii="宋体" w:hAnsi="宋体" w:cs="宋体"/>
          <w:color w:val="000000"/>
          <w:kern w:val="0"/>
          <w:sz w:val="28"/>
          <w:szCs w:val="28"/>
          <w:highlight w:val="none"/>
        </w:rPr>
      </w:pPr>
      <w:r>
        <w:rPr>
          <w:rFonts w:ascii="宋体" w:hAnsi="宋体" w:cs="宋体"/>
          <w:color w:val="000000"/>
          <w:kern w:val="0"/>
          <w:sz w:val="28"/>
          <w:szCs w:val="28"/>
          <w:highlight w:val="none"/>
        </w:rPr>
        <w:t>合同签订之日起</w:t>
      </w:r>
      <w:r>
        <w:rPr>
          <w:rFonts w:hint="eastAsia" w:ascii="宋体" w:hAnsi="宋体" w:cs="宋体"/>
          <w:color w:val="000000"/>
          <w:kern w:val="0"/>
          <w:sz w:val="28"/>
          <w:szCs w:val="28"/>
          <w:highlight w:val="none"/>
        </w:rPr>
        <w:t>提供一年维保服务</w:t>
      </w:r>
      <w:r>
        <w:rPr>
          <w:rFonts w:ascii="宋体" w:hAnsi="宋体" w:cs="宋体"/>
          <w:color w:val="000000"/>
          <w:kern w:val="0"/>
          <w:sz w:val="28"/>
          <w:szCs w:val="28"/>
          <w:highlight w:val="none"/>
        </w:rPr>
        <w:t>。</w:t>
      </w:r>
    </w:p>
    <w:p w14:paraId="0071AC70">
      <w:pPr>
        <w:pStyle w:val="4"/>
        <w:rPr>
          <w:highlight w:val="none"/>
        </w:rPr>
      </w:pPr>
      <w:r>
        <w:rPr>
          <w:highlight w:val="none"/>
        </w:rPr>
        <w:t>（二）交货地点/服务范围</w:t>
      </w:r>
    </w:p>
    <w:p w14:paraId="588C25C3">
      <w:pPr>
        <w:widowControl/>
        <w:spacing w:line="500" w:lineRule="exact"/>
        <w:ind w:firstLine="560" w:firstLineChars="200"/>
        <w:jc w:val="left"/>
        <w:rPr>
          <w:rFonts w:ascii="宋体" w:hAnsi="宋体" w:cs="宋体"/>
          <w:color w:val="000000"/>
          <w:kern w:val="0"/>
          <w:sz w:val="28"/>
          <w:szCs w:val="28"/>
          <w:highlight w:val="none"/>
        </w:rPr>
      </w:pPr>
      <w:r>
        <w:rPr>
          <w:rFonts w:ascii="宋体" w:hAnsi="宋体" w:cs="宋体"/>
          <w:color w:val="000000"/>
          <w:kern w:val="0"/>
          <w:sz w:val="28"/>
          <w:szCs w:val="28"/>
          <w:highlight w:val="none"/>
        </w:rPr>
        <w:t>宜昌市</w:t>
      </w:r>
      <w:r>
        <w:rPr>
          <w:rFonts w:hint="eastAsia" w:ascii="宋体" w:hAnsi="宋体" w:cs="宋体"/>
          <w:color w:val="000000"/>
          <w:kern w:val="0"/>
          <w:sz w:val="28"/>
          <w:szCs w:val="28"/>
          <w:highlight w:val="none"/>
        </w:rPr>
        <w:t>中心人民医院。</w:t>
      </w:r>
    </w:p>
    <w:p w14:paraId="13919165">
      <w:pPr>
        <w:pStyle w:val="4"/>
        <w:rPr>
          <w:highlight w:val="none"/>
        </w:rPr>
      </w:pPr>
      <w:r>
        <w:rPr>
          <w:highlight w:val="none"/>
        </w:rPr>
        <w:t>（三）付款条件</w:t>
      </w:r>
    </w:p>
    <w:p w14:paraId="2CAC8298">
      <w:pPr>
        <w:ind w:firstLine="442"/>
        <w:rPr>
          <w:rFonts w:ascii="宋体" w:hAnsi="宋体" w:cs="宋体"/>
          <w:bCs/>
          <w:kern w:val="0"/>
          <w:sz w:val="28"/>
          <w:szCs w:val="28"/>
          <w:highlight w:val="none"/>
        </w:rPr>
      </w:pPr>
      <w:r>
        <w:rPr>
          <w:rFonts w:ascii="宋体" w:hAnsi="宋体" w:cs="宋体"/>
          <w:bCs/>
          <w:kern w:val="0"/>
          <w:sz w:val="28"/>
          <w:szCs w:val="28"/>
          <w:highlight w:val="none"/>
        </w:rPr>
        <w:t xml:space="preserve">1. </w:t>
      </w:r>
      <w:r>
        <w:rPr>
          <w:rFonts w:hint="eastAsia" w:ascii="宋体" w:hAnsi="宋体" w:cs="宋体"/>
          <w:bCs/>
          <w:kern w:val="0"/>
          <w:sz w:val="28"/>
          <w:szCs w:val="28"/>
          <w:highlight w:val="none"/>
        </w:rPr>
        <w:t>付款方式：合同签订后，采购人向供应商支付本年度运维服务费用的50%；本年度运维服务满后，提供年度运维服务报告记录后支付本年度运维费用的50%。</w:t>
      </w:r>
    </w:p>
    <w:p w14:paraId="4FF21E9A">
      <w:pPr>
        <w:ind w:firstLine="442"/>
        <w:rPr>
          <w:rFonts w:hint="eastAsia" w:ascii="宋体" w:hAnsi="宋体" w:cs="宋体"/>
          <w:bCs/>
          <w:kern w:val="0"/>
          <w:sz w:val="28"/>
          <w:szCs w:val="28"/>
          <w:highlight w:val="none"/>
        </w:rPr>
      </w:pPr>
      <w:r>
        <w:rPr>
          <w:rFonts w:hint="eastAsia" w:ascii="宋体" w:hAnsi="宋体" w:cs="宋体"/>
          <w:bCs/>
          <w:kern w:val="0"/>
          <w:sz w:val="28"/>
          <w:szCs w:val="28"/>
          <w:highlight w:val="none"/>
        </w:rPr>
        <w:t>2</w:t>
      </w:r>
      <w:r>
        <w:rPr>
          <w:rFonts w:ascii="宋体" w:hAnsi="宋体" w:cs="宋体"/>
          <w:bCs/>
          <w:kern w:val="0"/>
          <w:sz w:val="28"/>
          <w:szCs w:val="28"/>
          <w:highlight w:val="none"/>
        </w:rPr>
        <w:t xml:space="preserve">. </w:t>
      </w:r>
      <w:r>
        <w:rPr>
          <w:rFonts w:hint="eastAsia" w:ascii="宋体" w:hAnsi="宋体" w:cs="宋体"/>
          <w:bCs/>
          <w:kern w:val="0"/>
          <w:sz w:val="28"/>
          <w:szCs w:val="28"/>
          <w:highlight w:val="none"/>
        </w:rPr>
        <w:t>违约责任：如投标人未按照投标文件内容提供运维服务，投标人应承担违约责任，赔偿采购人因此造成的实际经济损失。</w:t>
      </w:r>
    </w:p>
    <w:p w14:paraId="78BE6451">
      <w:pPr>
        <w:widowControl/>
        <w:spacing w:line="500" w:lineRule="exact"/>
        <w:jc w:val="left"/>
        <w:rPr>
          <w:rFonts w:ascii="宋体" w:hAnsi="宋体" w:cs="宋体"/>
          <w:b/>
          <w:bCs/>
          <w:color w:val="000000"/>
          <w:kern w:val="0"/>
          <w:sz w:val="28"/>
          <w:szCs w:val="28"/>
          <w:highlight w:val="none"/>
        </w:rPr>
      </w:pPr>
    </w:p>
    <w:p w14:paraId="5DD83226">
      <w:pPr>
        <w:pStyle w:val="12"/>
        <w:jc w:val="left"/>
        <w:rPr>
          <w:highlight w:val="none"/>
        </w:rPr>
      </w:pPr>
      <w:r>
        <w:rPr>
          <w:rFonts w:hint="eastAsia"/>
          <w:highlight w:val="none"/>
        </w:rPr>
        <w:t>四、评审标准</w:t>
      </w:r>
    </w:p>
    <w:p w14:paraId="4A08B951">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3"/>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2ADC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4BBA2647">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3F5B4111">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3A35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66F367C">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38A192E">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63F49CED">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1E00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1ED354A">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422218A">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4C6D73D0">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632B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0C8106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62A9E08">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1BFD657C">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5561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65C7132">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36F3D71">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D94ED51">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CE1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20DD568">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67C0B977">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797FD65">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709C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F503058">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5BA0EB">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40394870">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D9C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AA2284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9EEEA67">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DA3525F">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12E8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5F9A962">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5E3E705">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7322A386">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47F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28927B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2C6266D">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6BCCFE1">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33B1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56A7BC49">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BEF3381">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2297C6CA">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184070B7">
      <w:pPr>
        <w:pStyle w:val="12"/>
        <w:jc w:val="left"/>
        <w:rPr>
          <w:highlight w:val="none"/>
        </w:rPr>
      </w:pPr>
      <w:r>
        <w:rPr>
          <w:rFonts w:hint="eastAsia"/>
          <w:highlight w:val="none"/>
        </w:rPr>
        <w:t>五、投标人须提交的资料（所有</w:t>
      </w:r>
      <w:r>
        <w:rPr>
          <w:highlight w:val="none"/>
        </w:rPr>
        <w:t>资料需加盖公章，否则视为无效</w:t>
      </w:r>
      <w:r>
        <w:rPr>
          <w:rFonts w:hint="eastAsia"/>
          <w:highlight w:val="none"/>
        </w:rPr>
        <w:t>）</w:t>
      </w:r>
    </w:p>
    <w:p w14:paraId="7B30DD24">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1CA0A4EB">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59E381FE">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07FED713">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568DB9A9">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1618665C">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正本一份，与正本一致的副本一份。投标文件不得行间插字、涂改或增删。如有修改错漏处，必须由投标文件签署人签字或盖章，否则视为无效文件。上述投标资料需装入档案袋，密封盖章。</w:t>
      </w:r>
    </w:p>
    <w:p w14:paraId="411B825B">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B6A9A72">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4E3F41EC">
      <w:pPr>
        <w:pStyle w:val="2"/>
        <w:jc w:val="center"/>
        <w:rPr>
          <w:highlight w:val="none"/>
        </w:rPr>
      </w:pPr>
      <w:bookmarkStart w:id="1" w:name="_Toc456291479"/>
      <w:bookmarkStart w:id="2" w:name="_Toc462487372"/>
      <w:bookmarkStart w:id="3" w:name="_Toc456291354"/>
      <w:bookmarkStart w:id="4" w:name="_Toc456291537"/>
      <w:bookmarkStart w:id="5" w:name="_Toc456291280"/>
      <w:bookmarkStart w:id="6" w:name="_Toc456291260"/>
      <w:bookmarkStart w:id="7" w:name="_Toc456291165"/>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6BD0EAF9">
      <w:pPr>
        <w:rPr>
          <w:rFonts w:ascii="宋体" w:hAnsi="宋体"/>
          <w:highlight w:val="none"/>
        </w:rPr>
      </w:pPr>
    </w:p>
    <w:p w14:paraId="48D35668">
      <w:pPr>
        <w:pStyle w:val="28"/>
        <w:jc w:val="center"/>
        <w:rPr>
          <w:rFonts w:ascii="黑体" w:hAnsi="黑体" w:eastAsia="黑体"/>
          <w:b/>
          <w:bCs/>
          <w:sz w:val="44"/>
          <w:szCs w:val="44"/>
          <w:highlight w:val="none"/>
        </w:rPr>
      </w:pPr>
    </w:p>
    <w:p w14:paraId="6EA6A8AC">
      <w:pPr>
        <w:pStyle w:val="28"/>
        <w:jc w:val="center"/>
        <w:rPr>
          <w:rFonts w:ascii="黑体" w:hAnsi="黑体" w:eastAsia="黑体"/>
          <w:b/>
          <w:bCs/>
          <w:sz w:val="44"/>
          <w:szCs w:val="44"/>
          <w:highlight w:val="none"/>
        </w:rPr>
      </w:pPr>
    </w:p>
    <w:p w14:paraId="0AA1C6F9">
      <w:pPr>
        <w:pStyle w:val="28"/>
        <w:rPr>
          <w:rFonts w:ascii="楷体_GB2312" w:eastAsia="楷体_GB2312"/>
          <w:b/>
          <w:bCs/>
          <w:sz w:val="54"/>
          <w:highlight w:val="none"/>
        </w:rPr>
      </w:pPr>
    </w:p>
    <w:p w14:paraId="7B5AF4ED">
      <w:pPr>
        <w:pStyle w:val="28"/>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6B732A52">
      <w:pPr>
        <w:pStyle w:val="28"/>
        <w:spacing w:line="500" w:lineRule="exact"/>
        <w:rPr>
          <w:rFonts w:ascii="楷体_GB2312" w:eastAsia="楷体_GB2312"/>
          <w:b/>
          <w:sz w:val="32"/>
          <w:szCs w:val="32"/>
          <w:highlight w:val="none"/>
        </w:rPr>
      </w:pPr>
    </w:p>
    <w:p w14:paraId="3C2B8027">
      <w:pPr>
        <w:pStyle w:val="28"/>
        <w:spacing w:line="500" w:lineRule="exact"/>
        <w:ind w:firstLine="562" w:firstLineChars="200"/>
        <w:rPr>
          <w:rFonts w:ascii="楷体_GB2312" w:eastAsia="楷体_GB2312"/>
          <w:b/>
          <w:sz w:val="28"/>
          <w:highlight w:val="none"/>
        </w:rPr>
      </w:pPr>
    </w:p>
    <w:p w14:paraId="6BE03574">
      <w:pPr>
        <w:pStyle w:val="28"/>
        <w:spacing w:line="500" w:lineRule="exact"/>
        <w:ind w:firstLine="560" w:firstLineChars="200"/>
        <w:rPr>
          <w:rFonts w:ascii="楷体_GB2312" w:eastAsia="楷体_GB2312"/>
          <w:sz w:val="28"/>
          <w:highlight w:val="none"/>
        </w:rPr>
      </w:pPr>
    </w:p>
    <w:p w14:paraId="136F8274">
      <w:pPr>
        <w:pStyle w:val="28"/>
        <w:spacing w:line="500" w:lineRule="exact"/>
        <w:ind w:firstLine="560" w:firstLineChars="200"/>
        <w:rPr>
          <w:rFonts w:ascii="楷体_GB2312" w:eastAsia="楷体_GB2312"/>
          <w:sz w:val="28"/>
          <w:highlight w:val="none"/>
        </w:rPr>
      </w:pPr>
    </w:p>
    <w:p w14:paraId="37EC516A">
      <w:pPr>
        <w:pStyle w:val="28"/>
        <w:spacing w:line="500" w:lineRule="exact"/>
        <w:ind w:firstLine="560" w:firstLineChars="200"/>
        <w:rPr>
          <w:rFonts w:ascii="楷体_GB2312" w:eastAsia="楷体_GB2312"/>
          <w:sz w:val="28"/>
          <w:highlight w:val="none"/>
        </w:rPr>
      </w:pPr>
    </w:p>
    <w:p w14:paraId="7FFC2EF6">
      <w:pPr>
        <w:pStyle w:val="28"/>
        <w:spacing w:line="500" w:lineRule="exact"/>
        <w:ind w:firstLine="560" w:firstLineChars="200"/>
        <w:rPr>
          <w:rFonts w:ascii="楷体_GB2312" w:eastAsia="楷体_GB2312"/>
          <w:sz w:val="28"/>
          <w:highlight w:val="none"/>
        </w:rPr>
      </w:pPr>
    </w:p>
    <w:p w14:paraId="08A2A34F">
      <w:pPr>
        <w:pStyle w:val="28"/>
        <w:spacing w:line="500" w:lineRule="exact"/>
        <w:ind w:firstLine="560" w:firstLineChars="200"/>
        <w:rPr>
          <w:rFonts w:ascii="楷体_GB2312" w:eastAsia="楷体_GB2312"/>
          <w:sz w:val="28"/>
          <w:highlight w:val="none"/>
        </w:rPr>
      </w:pPr>
    </w:p>
    <w:p w14:paraId="625FBEA0">
      <w:pPr>
        <w:pStyle w:val="28"/>
        <w:spacing w:line="500" w:lineRule="exact"/>
        <w:ind w:firstLine="560" w:firstLineChars="200"/>
        <w:rPr>
          <w:rFonts w:ascii="楷体_GB2312" w:eastAsia="楷体_GB2312"/>
          <w:sz w:val="28"/>
          <w:highlight w:val="none"/>
        </w:rPr>
      </w:pPr>
    </w:p>
    <w:p w14:paraId="0E20F16C">
      <w:pPr>
        <w:pStyle w:val="28"/>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20DA61ED">
      <w:pPr>
        <w:pStyle w:val="28"/>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74EB8295">
      <w:pPr>
        <w:pStyle w:val="28"/>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9FD84E5">
      <w:pPr>
        <w:pStyle w:val="28"/>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5DDFF4EB">
      <w:pPr>
        <w:ind w:left="-141" w:leftChars="-67" w:right="-197" w:rightChars="-94" w:firstLine="883" w:firstLineChars="200"/>
        <w:jc w:val="center"/>
        <w:rPr>
          <w:rFonts w:ascii="宋体" w:hAnsi="宋体"/>
          <w:b/>
          <w:sz w:val="44"/>
          <w:highlight w:val="none"/>
        </w:rPr>
      </w:pPr>
    </w:p>
    <w:p w14:paraId="73C3D042">
      <w:pPr>
        <w:ind w:left="-141" w:leftChars="-67" w:right="-197" w:rightChars="-94" w:firstLine="883" w:firstLineChars="200"/>
        <w:jc w:val="center"/>
        <w:rPr>
          <w:rFonts w:ascii="宋体" w:hAnsi="宋体"/>
          <w:b/>
          <w:sz w:val="44"/>
          <w:highlight w:val="none"/>
        </w:rPr>
      </w:pPr>
    </w:p>
    <w:p w14:paraId="3A195B9A">
      <w:pPr>
        <w:ind w:left="-141" w:leftChars="-67" w:right="-197" w:rightChars="-94" w:firstLine="883" w:firstLineChars="200"/>
        <w:jc w:val="center"/>
        <w:rPr>
          <w:rFonts w:ascii="宋体" w:hAnsi="宋体"/>
          <w:b/>
          <w:sz w:val="44"/>
          <w:highlight w:val="none"/>
        </w:rPr>
      </w:pPr>
    </w:p>
    <w:p w14:paraId="79DC04E0">
      <w:pPr>
        <w:pStyle w:val="3"/>
        <w:jc w:val="center"/>
        <w:rPr>
          <w:highlight w:val="none"/>
        </w:rPr>
      </w:pPr>
      <w:r>
        <w:rPr>
          <w:rFonts w:hint="eastAsia"/>
          <w:highlight w:val="none"/>
        </w:rPr>
        <w:t>法定代表人资格证明书</w:t>
      </w:r>
    </w:p>
    <w:p w14:paraId="08B3EEBA">
      <w:pPr>
        <w:spacing w:line="360" w:lineRule="auto"/>
        <w:rPr>
          <w:rFonts w:ascii="宋体" w:hAnsi="宋体"/>
          <w:sz w:val="24"/>
          <w:highlight w:val="none"/>
        </w:rPr>
      </w:pPr>
    </w:p>
    <w:p w14:paraId="79DA17E1">
      <w:pPr>
        <w:pStyle w:val="31"/>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ED3096D">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411D69A6">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206AD0FC">
      <w:pPr>
        <w:pStyle w:val="31"/>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3CE0188E">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C1AE496">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2EC04900">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1BD5E3E">
      <w:pPr>
        <w:pStyle w:val="31"/>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3"/>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673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8D530CF">
            <w:pPr>
              <w:pStyle w:val="31"/>
              <w:adjustRightInd w:val="0"/>
              <w:snapToGrid w:val="0"/>
              <w:spacing w:line="500" w:lineRule="exact"/>
              <w:jc w:val="center"/>
              <w:rPr>
                <w:rFonts w:ascii="宋体" w:hAnsi="宋体"/>
                <w:szCs w:val="28"/>
                <w:highlight w:val="none"/>
              </w:rPr>
            </w:pPr>
          </w:p>
          <w:p w14:paraId="25BE6F8F">
            <w:pPr>
              <w:pStyle w:val="31"/>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15CA8C41">
            <w:pPr>
              <w:pStyle w:val="31"/>
              <w:adjustRightInd w:val="0"/>
              <w:snapToGrid w:val="0"/>
              <w:spacing w:line="500" w:lineRule="exact"/>
              <w:jc w:val="center"/>
              <w:rPr>
                <w:rFonts w:ascii="宋体" w:hAnsi="宋体"/>
                <w:szCs w:val="28"/>
                <w:highlight w:val="none"/>
              </w:rPr>
            </w:pPr>
          </w:p>
        </w:tc>
      </w:tr>
    </w:tbl>
    <w:p w14:paraId="6388F8AF">
      <w:pPr>
        <w:pStyle w:val="31"/>
        <w:adjustRightInd w:val="0"/>
        <w:snapToGrid w:val="0"/>
        <w:spacing w:line="500" w:lineRule="exact"/>
        <w:rPr>
          <w:rFonts w:ascii="宋体" w:hAnsi="宋体"/>
          <w:szCs w:val="28"/>
          <w:highlight w:val="none"/>
        </w:rPr>
      </w:pPr>
    </w:p>
    <w:p w14:paraId="18B94A36">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1760BE08">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7566E629">
      <w:pPr>
        <w:pStyle w:val="31"/>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0798A803">
      <w:pPr>
        <w:spacing w:line="360" w:lineRule="auto"/>
        <w:jc w:val="right"/>
        <w:rPr>
          <w:rFonts w:ascii="宋体" w:hAnsi="宋体"/>
          <w:sz w:val="24"/>
          <w:highlight w:val="none"/>
        </w:rPr>
      </w:pPr>
    </w:p>
    <w:p w14:paraId="06722AF9">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4557806E">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17D74EF9">
      <w:pPr>
        <w:pStyle w:val="3"/>
        <w:jc w:val="center"/>
        <w:rPr>
          <w:highlight w:val="none"/>
        </w:rPr>
      </w:pPr>
      <w:r>
        <w:rPr>
          <w:rFonts w:hint="eastAsia"/>
          <w:highlight w:val="none"/>
        </w:rPr>
        <w:t xml:space="preserve">单位负责人资格证明文件 </w:t>
      </w:r>
    </w:p>
    <w:p w14:paraId="39FD62B3">
      <w:pPr>
        <w:pStyle w:val="31"/>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8C0485D">
      <w:pPr>
        <w:pStyle w:val="31"/>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13A501BD">
      <w:pPr>
        <w:pStyle w:val="31"/>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3C405CFE">
      <w:pPr>
        <w:pStyle w:val="31"/>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0C3C51FF">
      <w:pPr>
        <w:pStyle w:val="31"/>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1224F53">
      <w:pPr>
        <w:pStyle w:val="31"/>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C49D2A9">
      <w:pPr>
        <w:pStyle w:val="31"/>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57235704">
      <w:pPr>
        <w:pStyle w:val="31"/>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3"/>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DF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1CE0D96">
            <w:pPr>
              <w:pStyle w:val="31"/>
              <w:adjustRightInd w:val="0"/>
              <w:snapToGrid w:val="0"/>
              <w:spacing w:line="500" w:lineRule="exact"/>
              <w:jc w:val="center"/>
              <w:rPr>
                <w:rFonts w:ascii="宋体" w:hAnsi="宋体"/>
                <w:szCs w:val="28"/>
                <w:highlight w:val="none"/>
              </w:rPr>
            </w:pPr>
          </w:p>
          <w:p w14:paraId="58EBD62F">
            <w:pPr>
              <w:pStyle w:val="31"/>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6A84A6BC">
            <w:pPr>
              <w:pStyle w:val="31"/>
              <w:adjustRightInd w:val="0"/>
              <w:snapToGrid w:val="0"/>
              <w:spacing w:line="500" w:lineRule="exact"/>
              <w:jc w:val="center"/>
              <w:rPr>
                <w:rFonts w:ascii="宋体" w:hAnsi="宋体"/>
                <w:szCs w:val="28"/>
                <w:highlight w:val="none"/>
              </w:rPr>
            </w:pPr>
          </w:p>
        </w:tc>
      </w:tr>
    </w:tbl>
    <w:p w14:paraId="7E4EC951">
      <w:pPr>
        <w:pStyle w:val="31"/>
        <w:adjustRightInd w:val="0"/>
        <w:snapToGrid w:val="0"/>
        <w:spacing w:line="500" w:lineRule="exact"/>
        <w:rPr>
          <w:rFonts w:ascii="宋体" w:hAnsi="宋体"/>
          <w:szCs w:val="28"/>
          <w:highlight w:val="none"/>
        </w:rPr>
      </w:pPr>
    </w:p>
    <w:p w14:paraId="2F8E3105">
      <w:pPr>
        <w:pStyle w:val="31"/>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7CFB6BBF">
      <w:pPr>
        <w:pStyle w:val="31"/>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546183E8">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C0E4F59">
      <w:pPr>
        <w:spacing w:line="360" w:lineRule="auto"/>
        <w:jc w:val="right"/>
        <w:rPr>
          <w:rFonts w:ascii="宋体" w:hAnsi="宋体"/>
          <w:sz w:val="24"/>
          <w:highlight w:val="none"/>
        </w:rPr>
      </w:pPr>
    </w:p>
    <w:p w14:paraId="2ED1CF0E">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7B99EAF1">
      <w:pPr>
        <w:pStyle w:val="3"/>
        <w:jc w:val="center"/>
        <w:rPr>
          <w:highlight w:val="none"/>
        </w:rPr>
      </w:pPr>
      <w:r>
        <w:rPr>
          <w:rFonts w:hint="eastAsia"/>
          <w:highlight w:val="none"/>
        </w:rPr>
        <w:t xml:space="preserve">自然人资格证明文件 </w:t>
      </w:r>
    </w:p>
    <w:p w14:paraId="5AD7242C">
      <w:pPr>
        <w:pStyle w:val="31"/>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A939929">
      <w:pPr>
        <w:pStyle w:val="31"/>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5B675FF5">
      <w:pPr>
        <w:pStyle w:val="31"/>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27D91E56">
      <w:pPr>
        <w:pStyle w:val="31"/>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4F6D8509">
      <w:pPr>
        <w:pStyle w:val="31"/>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7958229">
      <w:pPr>
        <w:pStyle w:val="31"/>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DAF3B34">
      <w:pPr>
        <w:pStyle w:val="31"/>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67F31B3">
      <w:pPr>
        <w:pStyle w:val="31"/>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3"/>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A80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8A28AF4">
            <w:pPr>
              <w:pStyle w:val="31"/>
              <w:adjustRightInd w:val="0"/>
              <w:snapToGrid w:val="0"/>
              <w:spacing w:line="500" w:lineRule="exact"/>
              <w:jc w:val="center"/>
              <w:rPr>
                <w:rFonts w:ascii="宋体" w:hAnsi="宋体"/>
                <w:szCs w:val="28"/>
                <w:highlight w:val="none"/>
              </w:rPr>
            </w:pPr>
          </w:p>
          <w:p w14:paraId="2EB96DD6">
            <w:pPr>
              <w:pStyle w:val="31"/>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1AB77141">
            <w:pPr>
              <w:pStyle w:val="31"/>
              <w:adjustRightInd w:val="0"/>
              <w:snapToGrid w:val="0"/>
              <w:spacing w:line="500" w:lineRule="exact"/>
              <w:jc w:val="center"/>
              <w:rPr>
                <w:rFonts w:ascii="宋体" w:hAnsi="宋体"/>
                <w:szCs w:val="28"/>
                <w:highlight w:val="none"/>
              </w:rPr>
            </w:pPr>
          </w:p>
        </w:tc>
      </w:tr>
    </w:tbl>
    <w:p w14:paraId="7E01EF11">
      <w:pPr>
        <w:pStyle w:val="31"/>
        <w:adjustRightInd w:val="0"/>
        <w:snapToGrid w:val="0"/>
        <w:spacing w:line="500" w:lineRule="exact"/>
        <w:ind w:left="0" w:firstLine="0"/>
        <w:rPr>
          <w:rFonts w:ascii="宋体" w:hAnsi="宋体"/>
          <w:szCs w:val="28"/>
          <w:highlight w:val="none"/>
        </w:rPr>
      </w:pPr>
    </w:p>
    <w:p w14:paraId="2B3D6633">
      <w:pPr>
        <w:pStyle w:val="31"/>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6D867224">
      <w:pPr>
        <w:pStyle w:val="31"/>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75F762F2">
      <w:pPr>
        <w:pStyle w:val="31"/>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F855546">
      <w:pPr>
        <w:pStyle w:val="32"/>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2880464B">
      <w:pPr>
        <w:pStyle w:val="3"/>
        <w:jc w:val="center"/>
        <w:rPr>
          <w:highlight w:val="none"/>
        </w:rPr>
      </w:pPr>
      <w:r>
        <w:rPr>
          <w:rFonts w:hint="eastAsia"/>
          <w:highlight w:val="none"/>
        </w:rPr>
        <w:t>授权委托书</w:t>
      </w:r>
    </w:p>
    <w:p w14:paraId="5C1576C6">
      <w:pPr>
        <w:pStyle w:val="31"/>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E7A675E">
      <w:pPr>
        <w:pStyle w:val="31"/>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78DC4807">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35C42E4D">
      <w:pPr>
        <w:pStyle w:val="31"/>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42312041">
      <w:pPr>
        <w:pStyle w:val="31"/>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71AF471C">
      <w:pPr>
        <w:pStyle w:val="31"/>
        <w:spacing w:before="0" w:after="0" w:line="240" w:lineRule="auto"/>
        <w:ind w:left="0" w:firstLine="0"/>
        <w:rPr>
          <w:rFonts w:ascii="宋体" w:hAnsi="宋体"/>
          <w:szCs w:val="28"/>
          <w:highlight w:val="none"/>
        </w:rPr>
      </w:pPr>
      <w:r>
        <w:rPr>
          <w:rFonts w:hint="eastAsia" w:ascii="宋体" w:hAnsi="宋体"/>
          <w:szCs w:val="28"/>
          <w:highlight w:val="none"/>
        </w:rPr>
        <w:t>附：</w:t>
      </w:r>
    </w:p>
    <w:p w14:paraId="6C47F3C8">
      <w:pPr>
        <w:pStyle w:val="31"/>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1F602E2E">
      <w:pPr>
        <w:pStyle w:val="31"/>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3"/>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B32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47D84B30">
            <w:pPr>
              <w:pStyle w:val="31"/>
              <w:spacing w:line="500" w:lineRule="exact"/>
              <w:rPr>
                <w:rFonts w:ascii="宋体" w:hAnsi="宋体"/>
                <w:szCs w:val="28"/>
                <w:highlight w:val="none"/>
              </w:rPr>
            </w:pPr>
            <w:r>
              <w:rPr>
                <w:rFonts w:hint="eastAsia" w:ascii="宋体" w:hAnsi="宋体"/>
                <w:szCs w:val="28"/>
                <w:highlight w:val="none"/>
              </w:rPr>
              <w:t>粘贴被授权人身份证（扫描件）</w:t>
            </w:r>
          </w:p>
          <w:p w14:paraId="4FC95E48">
            <w:pPr>
              <w:pStyle w:val="31"/>
              <w:spacing w:line="500" w:lineRule="exact"/>
              <w:rPr>
                <w:rFonts w:ascii="宋体" w:hAnsi="宋体"/>
                <w:szCs w:val="28"/>
                <w:highlight w:val="none"/>
              </w:rPr>
            </w:pPr>
          </w:p>
        </w:tc>
      </w:tr>
    </w:tbl>
    <w:p w14:paraId="5FFC0A99">
      <w:pPr>
        <w:pStyle w:val="32"/>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243FCD21">
      <w:pPr>
        <w:pStyle w:val="3"/>
        <w:jc w:val="center"/>
        <w:rPr>
          <w:highlight w:val="none"/>
        </w:rPr>
      </w:pPr>
      <w:r>
        <w:rPr>
          <w:highlight w:val="none"/>
        </w:rPr>
        <w:t>承诺函</w:t>
      </w:r>
    </w:p>
    <w:p w14:paraId="3EAD232F">
      <w:pPr>
        <w:jc w:val="center"/>
        <w:rPr>
          <w:rFonts w:ascii="宋体" w:hAnsi="宋体"/>
          <w:b/>
          <w:sz w:val="28"/>
          <w:szCs w:val="28"/>
          <w:highlight w:val="none"/>
        </w:rPr>
      </w:pPr>
    </w:p>
    <w:p w14:paraId="132BA4C2">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0C5C626C">
      <w:pPr>
        <w:pStyle w:val="31"/>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4F3888B3">
      <w:pPr>
        <w:pStyle w:val="31"/>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46E10F19">
      <w:pPr>
        <w:pStyle w:val="31"/>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430D0447">
      <w:pPr>
        <w:tabs>
          <w:tab w:val="left" w:pos="854"/>
        </w:tabs>
        <w:spacing w:line="360" w:lineRule="auto"/>
        <w:rPr>
          <w:rFonts w:ascii="宋体" w:hAnsi="宋体"/>
          <w:bCs/>
          <w:sz w:val="28"/>
          <w:szCs w:val="28"/>
          <w:highlight w:val="none"/>
        </w:rPr>
      </w:pPr>
    </w:p>
    <w:p w14:paraId="6569FB98">
      <w:pPr>
        <w:tabs>
          <w:tab w:val="left" w:pos="854"/>
        </w:tabs>
        <w:spacing w:line="360" w:lineRule="auto"/>
        <w:rPr>
          <w:rFonts w:ascii="宋体" w:hAnsi="宋体"/>
          <w:bCs/>
          <w:sz w:val="28"/>
          <w:szCs w:val="28"/>
          <w:highlight w:val="none"/>
        </w:rPr>
      </w:pPr>
    </w:p>
    <w:p w14:paraId="2DE5F453">
      <w:pPr>
        <w:pStyle w:val="31"/>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69DAE286">
      <w:pPr>
        <w:spacing w:line="500" w:lineRule="exact"/>
        <w:ind w:firstLine="720"/>
        <w:rPr>
          <w:rFonts w:ascii="宋体" w:hAnsi="宋体"/>
          <w:kern w:val="0"/>
          <w:sz w:val="28"/>
          <w:szCs w:val="28"/>
          <w:highlight w:val="none"/>
        </w:rPr>
      </w:pPr>
    </w:p>
    <w:p w14:paraId="0D312EBC">
      <w:pPr>
        <w:pStyle w:val="31"/>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2DAA608">
      <w:pPr>
        <w:pStyle w:val="31"/>
        <w:spacing w:before="0" w:after="0" w:line="240" w:lineRule="auto"/>
        <w:ind w:left="1070" w:hanging="1069" w:hangingChars="382"/>
        <w:jc w:val="left"/>
        <w:rPr>
          <w:rFonts w:ascii="宋体" w:hAnsi="宋体"/>
          <w:kern w:val="0"/>
          <w:szCs w:val="28"/>
          <w:highlight w:val="none"/>
        </w:rPr>
      </w:pPr>
    </w:p>
    <w:p w14:paraId="0920628B">
      <w:pPr>
        <w:pStyle w:val="31"/>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3A71159C">
      <w:pPr>
        <w:pStyle w:val="32"/>
        <w:rPr>
          <w:sz w:val="28"/>
          <w:szCs w:val="28"/>
          <w:highlight w:val="none"/>
        </w:rPr>
      </w:pPr>
    </w:p>
    <w:p w14:paraId="1F56D478">
      <w:pPr>
        <w:pStyle w:val="2"/>
        <w:jc w:val="center"/>
        <w:rPr>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标题 CS)">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dings2">
    <w:altName w:val="Cambria"/>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217AD"/>
    <w:multiLevelType w:val="multilevel"/>
    <w:tmpl w:val="22C217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67C2"/>
    <w:rsid w:val="00007904"/>
    <w:rsid w:val="00022937"/>
    <w:rsid w:val="00024206"/>
    <w:rsid w:val="000276BE"/>
    <w:rsid w:val="00036754"/>
    <w:rsid w:val="0004016B"/>
    <w:rsid w:val="00045656"/>
    <w:rsid w:val="000475BD"/>
    <w:rsid w:val="00051A54"/>
    <w:rsid w:val="00054C5E"/>
    <w:rsid w:val="00056397"/>
    <w:rsid w:val="00065785"/>
    <w:rsid w:val="00074904"/>
    <w:rsid w:val="000762AC"/>
    <w:rsid w:val="00080219"/>
    <w:rsid w:val="000847B2"/>
    <w:rsid w:val="0008739B"/>
    <w:rsid w:val="00091562"/>
    <w:rsid w:val="00096834"/>
    <w:rsid w:val="00096D0A"/>
    <w:rsid w:val="000A3251"/>
    <w:rsid w:val="000A481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4C2F"/>
    <w:rsid w:val="00125F97"/>
    <w:rsid w:val="0013281D"/>
    <w:rsid w:val="00137B0B"/>
    <w:rsid w:val="001438EA"/>
    <w:rsid w:val="00150C40"/>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04A0A"/>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3329"/>
    <w:rsid w:val="002E53E8"/>
    <w:rsid w:val="002F7B5C"/>
    <w:rsid w:val="00301986"/>
    <w:rsid w:val="00301DE8"/>
    <w:rsid w:val="00306D33"/>
    <w:rsid w:val="00310441"/>
    <w:rsid w:val="00311434"/>
    <w:rsid w:val="00311489"/>
    <w:rsid w:val="00312F37"/>
    <w:rsid w:val="00326254"/>
    <w:rsid w:val="00331027"/>
    <w:rsid w:val="00334330"/>
    <w:rsid w:val="00342298"/>
    <w:rsid w:val="0034229D"/>
    <w:rsid w:val="00343F61"/>
    <w:rsid w:val="00347C72"/>
    <w:rsid w:val="003500BB"/>
    <w:rsid w:val="00350C0A"/>
    <w:rsid w:val="003554DB"/>
    <w:rsid w:val="003554F4"/>
    <w:rsid w:val="0035714B"/>
    <w:rsid w:val="0036316C"/>
    <w:rsid w:val="003678FB"/>
    <w:rsid w:val="00372EEC"/>
    <w:rsid w:val="00374FA1"/>
    <w:rsid w:val="003771B9"/>
    <w:rsid w:val="003849CB"/>
    <w:rsid w:val="00386D5E"/>
    <w:rsid w:val="00387D36"/>
    <w:rsid w:val="00390E30"/>
    <w:rsid w:val="00394CBD"/>
    <w:rsid w:val="0039537B"/>
    <w:rsid w:val="003B1BB7"/>
    <w:rsid w:val="003B28AB"/>
    <w:rsid w:val="003C0B70"/>
    <w:rsid w:val="003C23B2"/>
    <w:rsid w:val="003C5551"/>
    <w:rsid w:val="003D5E50"/>
    <w:rsid w:val="003E374C"/>
    <w:rsid w:val="003E41C7"/>
    <w:rsid w:val="003E582E"/>
    <w:rsid w:val="003E6722"/>
    <w:rsid w:val="003F0358"/>
    <w:rsid w:val="00401E67"/>
    <w:rsid w:val="00412907"/>
    <w:rsid w:val="00414E00"/>
    <w:rsid w:val="00421514"/>
    <w:rsid w:val="0042375F"/>
    <w:rsid w:val="00424AFD"/>
    <w:rsid w:val="004303FC"/>
    <w:rsid w:val="00431633"/>
    <w:rsid w:val="00433C92"/>
    <w:rsid w:val="00440AB7"/>
    <w:rsid w:val="00446638"/>
    <w:rsid w:val="00453CDC"/>
    <w:rsid w:val="0046517D"/>
    <w:rsid w:val="00474384"/>
    <w:rsid w:val="00492E11"/>
    <w:rsid w:val="00497F0D"/>
    <w:rsid w:val="004A4255"/>
    <w:rsid w:val="004B272B"/>
    <w:rsid w:val="004C4E45"/>
    <w:rsid w:val="004C5156"/>
    <w:rsid w:val="004D2F37"/>
    <w:rsid w:val="004D3260"/>
    <w:rsid w:val="004D43F7"/>
    <w:rsid w:val="004D59EA"/>
    <w:rsid w:val="004E31DD"/>
    <w:rsid w:val="004F5520"/>
    <w:rsid w:val="00503601"/>
    <w:rsid w:val="00521CC1"/>
    <w:rsid w:val="0052240D"/>
    <w:rsid w:val="00540529"/>
    <w:rsid w:val="00544F7E"/>
    <w:rsid w:val="005455AF"/>
    <w:rsid w:val="0055245D"/>
    <w:rsid w:val="00553C00"/>
    <w:rsid w:val="005614F8"/>
    <w:rsid w:val="00563340"/>
    <w:rsid w:val="00564A6B"/>
    <w:rsid w:val="0056741D"/>
    <w:rsid w:val="00573DED"/>
    <w:rsid w:val="00586638"/>
    <w:rsid w:val="005924B1"/>
    <w:rsid w:val="005A3835"/>
    <w:rsid w:val="005B12CF"/>
    <w:rsid w:val="005B302D"/>
    <w:rsid w:val="005B7B08"/>
    <w:rsid w:val="005C0FA3"/>
    <w:rsid w:val="005D3A14"/>
    <w:rsid w:val="005F1DE4"/>
    <w:rsid w:val="005F4172"/>
    <w:rsid w:val="005F4601"/>
    <w:rsid w:val="00601A2A"/>
    <w:rsid w:val="006030FC"/>
    <w:rsid w:val="00605EDC"/>
    <w:rsid w:val="006212AD"/>
    <w:rsid w:val="006300B6"/>
    <w:rsid w:val="00633C22"/>
    <w:rsid w:val="00644CE6"/>
    <w:rsid w:val="00645B11"/>
    <w:rsid w:val="00661044"/>
    <w:rsid w:val="00672A37"/>
    <w:rsid w:val="00673FC6"/>
    <w:rsid w:val="00682114"/>
    <w:rsid w:val="006838C0"/>
    <w:rsid w:val="006864CE"/>
    <w:rsid w:val="00687A6E"/>
    <w:rsid w:val="00694DF5"/>
    <w:rsid w:val="006A146A"/>
    <w:rsid w:val="006A466A"/>
    <w:rsid w:val="006A642F"/>
    <w:rsid w:val="006C2CA3"/>
    <w:rsid w:val="006C50FE"/>
    <w:rsid w:val="006D1E5A"/>
    <w:rsid w:val="006D52F7"/>
    <w:rsid w:val="006E2353"/>
    <w:rsid w:val="006F3535"/>
    <w:rsid w:val="007211CD"/>
    <w:rsid w:val="0072252E"/>
    <w:rsid w:val="007238B1"/>
    <w:rsid w:val="00724713"/>
    <w:rsid w:val="007326E7"/>
    <w:rsid w:val="007333C3"/>
    <w:rsid w:val="007418F7"/>
    <w:rsid w:val="0074596C"/>
    <w:rsid w:val="007532EA"/>
    <w:rsid w:val="00754A1F"/>
    <w:rsid w:val="00756110"/>
    <w:rsid w:val="0075770C"/>
    <w:rsid w:val="007645D1"/>
    <w:rsid w:val="00787212"/>
    <w:rsid w:val="00790579"/>
    <w:rsid w:val="0079554E"/>
    <w:rsid w:val="007A4592"/>
    <w:rsid w:val="007A5D56"/>
    <w:rsid w:val="007C213C"/>
    <w:rsid w:val="007C614F"/>
    <w:rsid w:val="007C70E7"/>
    <w:rsid w:val="007D1264"/>
    <w:rsid w:val="007D49B3"/>
    <w:rsid w:val="007D6174"/>
    <w:rsid w:val="007E6599"/>
    <w:rsid w:val="007E76E4"/>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412D"/>
    <w:rsid w:val="008C6180"/>
    <w:rsid w:val="008C6D72"/>
    <w:rsid w:val="008E4291"/>
    <w:rsid w:val="008E60C8"/>
    <w:rsid w:val="009014E9"/>
    <w:rsid w:val="00903433"/>
    <w:rsid w:val="00903484"/>
    <w:rsid w:val="00914444"/>
    <w:rsid w:val="009309C0"/>
    <w:rsid w:val="009379AB"/>
    <w:rsid w:val="00940199"/>
    <w:rsid w:val="00942F40"/>
    <w:rsid w:val="0094776F"/>
    <w:rsid w:val="00957A82"/>
    <w:rsid w:val="0096780D"/>
    <w:rsid w:val="00971903"/>
    <w:rsid w:val="009730BC"/>
    <w:rsid w:val="00974385"/>
    <w:rsid w:val="009766A2"/>
    <w:rsid w:val="009772A8"/>
    <w:rsid w:val="009818DC"/>
    <w:rsid w:val="00994642"/>
    <w:rsid w:val="009A0553"/>
    <w:rsid w:val="009B21DA"/>
    <w:rsid w:val="009B5DBC"/>
    <w:rsid w:val="009B6E72"/>
    <w:rsid w:val="009B7FB3"/>
    <w:rsid w:val="009C02FA"/>
    <w:rsid w:val="009C3C8B"/>
    <w:rsid w:val="009F0ABA"/>
    <w:rsid w:val="009F3289"/>
    <w:rsid w:val="009F32C8"/>
    <w:rsid w:val="009F4BB8"/>
    <w:rsid w:val="009F50C2"/>
    <w:rsid w:val="009F59F0"/>
    <w:rsid w:val="009F77E6"/>
    <w:rsid w:val="00A0251D"/>
    <w:rsid w:val="00A070AB"/>
    <w:rsid w:val="00A11E11"/>
    <w:rsid w:val="00A34B69"/>
    <w:rsid w:val="00A4389D"/>
    <w:rsid w:val="00A67374"/>
    <w:rsid w:val="00A714B3"/>
    <w:rsid w:val="00A7195B"/>
    <w:rsid w:val="00A7245A"/>
    <w:rsid w:val="00A757F9"/>
    <w:rsid w:val="00A91741"/>
    <w:rsid w:val="00A91DAB"/>
    <w:rsid w:val="00AA7E81"/>
    <w:rsid w:val="00AB2189"/>
    <w:rsid w:val="00AB2203"/>
    <w:rsid w:val="00AB51EA"/>
    <w:rsid w:val="00AC1363"/>
    <w:rsid w:val="00AC2D71"/>
    <w:rsid w:val="00AC3DA6"/>
    <w:rsid w:val="00AC6E4C"/>
    <w:rsid w:val="00AC7115"/>
    <w:rsid w:val="00AD2C0A"/>
    <w:rsid w:val="00AD4795"/>
    <w:rsid w:val="00AD7B16"/>
    <w:rsid w:val="00AF3791"/>
    <w:rsid w:val="00B04DF5"/>
    <w:rsid w:val="00B07BD5"/>
    <w:rsid w:val="00B13AE6"/>
    <w:rsid w:val="00B25174"/>
    <w:rsid w:val="00B25341"/>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2A54"/>
    <w:rsid w:val="00BF46E7"/>
    <w:rsid w:val="00C03F2B"/>
    <w:rsid w:val="00C174E9"/>
    <w:rsid w:val="00C2311D"/>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535E"/>
    <w:rsid w:val="00CD7EEA"/>
    <w:rsid w:val="00CE61D3"/>
    <w:rsid w:val="00CF5577"/>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85E63"/>
    <w:rsid w:val="00D908E7"/>
    <w:rsid w:val="00D920E5"/>
    <w:rsid w:val="00D964D1"/>
    <w:rsid w:val="00DA29FD"/>
    <w:rsid w:val="00DA7317"/>
    <w:rsid w:val="00DA748F"/>
    <w:rsid w:val="00DB2674"/>
    <w:rsid w:val="00DB43FA"/>
    <w:rsid w:val="00DB59A6"/>
    <w:rsid w:val="00DB7026"/>
    <w:rsid w:val="00DC1E6F"/>
    <w:rsid w:val="00DC3953"/>
    <w:rsid w:val="00DC654F"/>
    <w:rsid w:val="00DD3C42"/>
    <w:rsid w:val="00DE44FF"/>
    <w:rsid w:val="00DE46B5"/>
    <w:rsid w:val="00DE6E95"/>
    <w:rsid w:val="00DF328A"/>
    <w:rsid w:val="00E037F1"/>
    <w:rsid w:val="00E04166"/>
    <w:rsid w:val="00E12CB9"/>
    <w:rsid w:val="00E253DE"/>
    <w:rsid w:val="00E25BB4"/>
    <w:rsid w:val="00E31918"/>
    <w:rsid w:val="00E36F05"/>
    <w:rsid w:val="00E42DD4"/>
    <w:rsid w:val="00E44DE9"/>
    <w:rsid w:val="00E44F82"/>
    <w:rsid w:val="00E50BF9"/>
    <w:rsid w:val="00E648DA"/>
    <w:rsid w:val="00E7291F"/>
    <w:rsid w:val="00E7321B"/>
    <w:rsid w:val="00E829E2"/>
    <w:rsid w:val="00E96532"/>
    <w:rsid w:val="00EC04DA"/>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33DE"/>
    <w:rsid w:val="00F879C4"/>
    <w:rsid w:val="00FA58E6"/>
    <w:rsid w:val="00FA7736"/>
    <w:rsid w:val="00FB6AA0"/>
    <w:rsid w:val="00FC46AD"/>
    <w:rsid w:val="00FD049C"/>
    <w:rsid w:val="00FD1BC1"/>
    <w:rsid w:val="00FD747B"/>
    <w:rsid w:val="00FF0033"/>
    <w:rsid w:val="02AD3A31"/>
    <w:rsid w:val="17CA481C"/>
    <w:rsid w:val="1C177904"/>
    <w:rsid w:val="2CC66E03"/>
    <w:rsid w:val="2E450300"/>
    <w:rsid w:val="2FE34275"/>
    <w:rsid w:val="3DDF5CB0"/>
    <w:rsid w:val="442F20E0"/>
    <w:rsid w:val="48BB1493"/>
    <w:rsid w:val="74D44A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7"/>
    <w:qFormat/>
    <w:locked/>
    <w:uiPriority w:val="0"/>
    <w:pPr>
      <w:keepNext/>
      <w:keepLines/>
      <w:spacing w:before="340" w:after="330" w:line="578" w:lineRule="auto"/>
      <w:outlineLvl w:val="0"/>
    </w:pPr>
    <w:rPr>
      <w:rFonts w:ascii="宋体" w:hAnsi="宋体"/>
      <w:b/>
      <w:bCs/>
      <w:kern w:val="44"/>
      <w:sz w:val="28"/>
      <w:szCs w:val="44"/>
    </w:rPr>
  </w:style>
  <w:style w:type="paragraph" w:styleId="3">
    <w:name w:val="heading 2"/>
    <w:basedOn w:val="1"/>
    <w:next w:val="1"/>
    <w:link w:val="17"/>
    <w:qFormat/>
    <w:uiPriority w:val="99"/>
    <w:pPr>
      <w:keepNext/>
      <w:keepLines/>
      <w:spacing w:before="260" w:after="260" w:line="416" w:lineRule="auto"/>
      <w:outlineLvl w:val="1"/>
    </w:pPr>
    <w:rPr>
      <w:rFonts w:ascii="宋体" w:hAnsi="宋体" w:cs="Cambria"/>
      <w:b/>
      <w:bCs/>
      <w:sz w:val="28"/>
      <w:szCs w:val="32"/>
    </w:rPr>
  </w:style>
  <w:style w:type="paragraph" w:styleId="4">
    <w:name w:val="heading 3"/>
    <w:basedOn w:val="1"/>
    <w:next w:val="1"/>
    <w:link w:val="35"/>
    <w:unhideWhenUsed/>
    <w:qFormat/>
    <w:locked/>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qFormat/>
    <w:uiPriority w:val="99"/>
    <w:pPr>
      <w:jc w:val="left"/>
    </w:pPr>
    <w:rPr>
      <w:rFonts w:cs="Times New Roman"/>
    </w:rPr>
  </w:style>
  <w:style w:type="paragraph" w:styleId="6">
    <w:name w:val="Body Text"/>
    <w:basedOn w:val="1"/>
    <w:unhideWhenUsed/>
    <w:qFormat/>
    <w:uiPriority w:val="1"/>
    <w:pPr>
      <w:jc w:val="left"/>
    </w:pPr>
    <w:rPr>
      <w:rFonts w:ascii="宋体" w:hAnsi="宋体" w:cs="宋体"/>
      <w:kern w:val="0"/>
      <w:sz w:val="24"/>
      <w:szCs w:val="24"/>
      <w:lang w:eastAsia="en-US"/>
    </w:rPr>
  </w:style>
  <w:style w:type="paragraph" w:styleId="7">
    <w:name w:val="Plain Text"/>
    <w:basedOn w:val="1"/>
    <w:link w:val="26"/>
    <w:qFormat/>
    <w:uiPriority w:val="0"/>
    <w:rPr>
      <w:rFonts w:ascii="宋体" w:hAnsi="Courier New" w:cs="Courier New"/>
    </w:rPr>
  </w:style>
  <w:style w:type="paragraph" w:styleId="8">
    <w:name w:val="Balloon Text"/>
    <w:basedOn w:val="1"/>
    <w:link w:val="22"/>
    <w:semiHidden/>
    <w:uiPriority w:val="99"/>
    <w:rPr>
      <w:rFonts w:ascii="Times New Roman" w:hAnsi="Times New Roman" w:cs="Times New Roman"/>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link w:val="34"/>
    <w:qFormat/>
    <w:locked/>
    <w:uiPriority w:val="0"/>
    <w:pPr>
      <w:spacing w:before="240" w:after="60"/>
      <w:jc w:val="center"/>
      <w:outlineLvl w:val="0"/>
    </w:pPr>
    <w:rPr>
      <w:rFonts w:ascii="Cambria" w:hAnsi="Cambria" w:cs="Times New Roman (标题 CS)"/>
      <w:b/>
      <w:bCs/>
      <w:sz w:val="28"/>
      <w:szCs w:val="32"/>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99"/>
    <w:rPr>
      <w:b/>
      <w:bCs/>
    </w:rPr>
  </w:style>
  <w:style w:type="character" w:customStyle="1" w:styleId="17">
    <w:name w:val="标题 2 字符"/>
    <w:link w:val="3"/>
    <w:qFormat/>
    <w:locked/>
    <w:uiPriority w:val="99"/>
    <w:rPr>
      <w:rFonts w:ascii="宋体" w:hAnsi="宋体" w:cs="Cambria"/>
      <w:b/>
      <w:bCs/>
      <w:kern w:val="2"/>
      <w:sz w:val="28"/>
      <w:szCs w:val="32"/>
    </w:rPr>
  </w:style>
  <w:style w:type="character" w:customStyle="1" w:styleId="18">
    <w:name w:val="页眉 字符"/>
    <w:link w:val="10"/>
    <w:qFormat/>
    <w:locked/>
    <w:uiPriority w:val="99"/>
    <w:rPr>
      <w:sz w:val="18"/>
      <w:szCs w:val="18"/>
    </w:rPr>
  </w:style>
  <w:style w:type="character" w:customStyle="1" w:styleId="19">
    <w:name w:val="页脚 字符"/>
    <w:link w:val="9"/>
    <w:qFormat/>
    <w:locked/>
    <w:uiPriority w:val="99"/>
    <w:rPr>
      <w:sz w:val="18"/>
      <w:szCs w:val="18"/>
    </w:rPr>
  </w:style>
  <w:style w:type="paragraph" w:styleId="20">
    <w:name w:val="List Paragraph"/>
    <w:basedOn w:val="1"/>
    <w:link w:val="21"/>
    <w:qFormat/>
    <w:uiPriority w:val="34"/>
    <w:pPr>
      <w:ind w:firstLine="420" w:firstLineChars="200"/>
    </w:pPr>
    <w:rPr>
      <w:rFonts w:ascii="Times New Roman" w:hAnsi="Times New Roman" w:cs="Times New Roman"/>
      <w:kern w:val="0"/>
      <w:sz w:val="20"/>
      <w:szCs w:val="20"/>
    </w:rPr>
  </w:style>
  <w:style w:type="character" w:customStyle="1" w:styleId="21">
    <w:name w:val="列出段落 字符"/>
    <w:link w:val="20"/>
    <w:qFormat/>
    <w:locked/>
    <w:uiPriority w:val="99"/>
    <w:rPr>
      <w:rFonts w:ascii="Times New Roman" w:hAnsi="Times New Roman" w:eastAsia="宋体" w:cs="Times New Roman"/>
      <w:sz w:val="20"/>
      <w:szCs w:val="20"/>
    </w:rPr>
  </w:style>
  <w:style w:type="character" w:customStyle="1" w:styleId="22">
    <w:name w:val="批注框文本 字符"/>
    <w:link w:val="8"/>
    <w:semiHidden/>
    <w:qFormat/>
    <w:locked/>
    <w:uiPriority w:val="99"/>
    <w:rPr>
      <w:rFonts w:ascii="Times New Roman" w:hAnsi="Times New Roman" w:eastAsia="宋体" w:cs="Times New Roman"/>
      <w:sz w:val="18"/>
      <w:szCs w:val="18"/>
    </w:rPr>
  </w:style>
  <w:style w:type="paragraph" w:customStyle="1" w:styleId="23">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4">
    <w:name w:val="font81"/>
    <w:qFormat/>
    <w:uiPriority w:val="99"/>
    <w:rPr>
      <w:rFonts w:ascii="微软雅黑" w:hAnsi="微软雅黑" w:eastAsia="微软雅黑" w:cs="微软雅黑"/>
      <w:color w:val="000000"/>
      <w:sz w:val="20"/>
      <w:szCs w:val="20"/>
      <w:u w:val="none"/>
    </w:rPr>
  </w:style>
  <w:style w:type="character" w:customStyle="1" w:styleId="25">
    <w:name w:val="font71"/>
    <w:qFormat/>
    <w:uiPriority w:val="99"/>
    <w:rPr>
      <w:rFonts w:ascii="宋体" w:hAnsi="宋体" w:eastAsia="宋体" w:cs="宋体"/>
      <w:color w:val="000000"/>
      <w:sz w:val="20"/>
      <w:szCs w:val="20"/>
      <w:u w:val="none"/>
    </w:rPr>
  </w:style>
  <w:style w:type="character" w:customStyle="1" w:styleId="26">
    <w:name w:val="纯文本 字符"/>
    <w:link w:val="7"/>
    <w:qFormat/>
    <w:uiPriority w:val="0"/>
    <w:rPr>
      <w:rFonts w:ascii="宋体" w:hAnsi="Courier New" w:cs="Courier New"/>
      <w:kern w:val="2"/>
      <w:sz w:val="21"/>
      <w:szCs w:val="21"/>
    </w:rPr>
  </w:style>
  <w:style w:type="character" w:customStyle="1" w:styleId="27">
    <w:name w:val="标题 1 字符"/>
    <w:link w:val="2"/>
    <w:qFormat/>
    <w:uiPriority w:val="0"/>
    <w:rPr>
      <w:rFonts w:ascii="宋体" w:hAnsi="宋体" w:cs="Calibri"/>
      <w:b/>
      <w:bCs/>
      <w:kern w:val="44"/>
      <w:sz w:val="28"/>
      <w:szCs w:val="44"/>
    </w:rPr>
  </w:style>
  <w:style w:type="paragraph" w:customStyle="1" w:styleId="28">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标题 3_0_0"/>
    <w:basedOn w:val="31"/>
    <w:next w:val="31"/>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1">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2">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3">
    <w:name w:val="批注文字 字符"/>
    <w:link w:val="5"/>
    <w:qFormat/>
    <w:uiPriority w:val="99"/>
    <w:rPr>
      <w:kern w:val="2"/>
      <w:sz w:val="21"/>
      <w:szCs w:val="21"/>
    </w:rPr>
  </w:style>
  <w:style w:type="character" w:customStyle="1" w:styleId="34">
    <w:name w:val="标题 字符"/>
    <w:link w:val="12"/>
    <w:qFormat/>
    <w:uiPriority w:val="0"/>
    <w:rPr>
      <w:rFonts w:ascii="Cambria" w:hAnsi="Cambria" w:cs="Times New Roman (标题 CS)"/>
      <w:b/>
      <w:bCs/>
      <w:kern w:val="2"/>
      <w:sz w:val="28"/>
      <w:szCs w:val="32"/>
    </w:rPr>
  </w:style>
  <w:style w:type="character" w:customStyle="1" w:styleId="35">
    <w:name w:val="标题 3 字符"/>
    <w:basedOn w:val="15"/>
    <w:link w:val="4"/>
    <w:qFormat/>
    <w:uiPriority w:val="0"/>
    <w:rPr>
      <w:rFonts w:ascii="Calibri" w:hAnsi="Calibri" w:cs="Calibr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63230-740D-462D-B4EF-713A3020F4E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4549</Words>
  <Characters>4823</Characters>
  <Lines>41</Lines>
  <Paragraphs>11</Paragraphs>
  <TotalTime>71</TotalTime>
  <ScaleCrop>false</ScaleCrop>
  <LinksUpToDate>false</LinksUpToDate>
  <CharactersWithSpaces>5634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2025-10-13T00:13:12Z</dcterms:modified>
  <dc:title>宜昌市中心人民医院</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67B32CC8B36C4DCEBE7B503B337BC1C8_13</vt:lpwstr>
  </property>
  <property fmtid="{D5CDD505-2E9C-101B-9397-08002B2CF9AE}" pid="4" name="KSOTemplateDocerSaveRecord">
    <vt:lpwstr>eyJoZGlkIjoiMjFhYTFiYjNhZDc2ZDZlNzdkNTVhYWVmODA2NzFlNTAiLCJ1c2VySWQiOiIxMzQ3MzYzMCJ9</vt:lpwstr>
  </property>
</Properties>
</file>