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72E99B3B">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w:t>
      </w:r>
      <w:bookmarkStart w:id="8" w:name="_GoBack"/>
      <w:r>
        <w:rPr>
          <w:rStyle w:val="13"/>
          <w:rFonts w:ascii="黑体" w:hAnsi="黑体" w:eastAsia="黑体" w:cs="黑体"/>
          <w:sz w:val="44"/>
          <w:szCs w:val="44"/>
        </w:rPr>
        <w:t>采购公告</w:t>
      </w:r>
      <w:bookmarkEnd w:id="8"/>
    </w:p>
    <w:p w14:paraId="72FD0B92">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伍家院区交通护栏采购项目</w:t>
      </w:r>
      <w:r>
        <w:rPr>
          <w:rFonts w:hint="eastAsia"/>
          <w:sz w:val="28"/>
          <w:szCs w:val="28"/>
        </w:rPr>
        <w:t>进行院内采购，欢迎广大符合条件的投标人踊跃投标。</w:t>
      </w:r>
    </w:p>
    <w:p w14:paraId="094FDA1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4B04C53">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8</w:t>
      </w:r>
    </w:p>
    <w:p w14:paraId="64A96912">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、项目名称：宜昌市中心人民医院伍家院区交通护栏采购项目</w:t>
      </w:r>
    </w:p>
    <w:p w14:paraId="6F5838C3">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3267351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C65862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10</w:t>
      </w:r>
      <w:r>
        <w:rPr>
          <w:rFonts w:hint="eastAsia"/>
          <w:color w:val="FF0000"/>
          <w:sz w:val="28"/>
          <w:szCs w:val="28"/>
        </w:rPr>
        <w:t>月</w:t>
      </w:r>
      <w:r>
        <w:rPr>
          <w:rFonts w:hint="eastAsia"/>
          <w:color w:val="FF0000"/>
          <w:sz w:val="28"/>
          <w:szCs w:val="28"/>
          <w:lang w:val="en-US" w:eastAsia="zh-CN"/>
        </w:rPr>
        <w:t>27</w:t>
      </w:r>
      <w:r>
        <w:rPr>
          <w:rFonts w:hint="eastAsia"/>
          <w:color w:val="FF0000"/>
          <w:sz w:val="28"/>
          <w:szCs w:val="28"/>
        </w:rPr>
        <w:t>日</w:t>
      </w:r>
      <w:r>
        <w:rPr>
          <w:color w:val="FF0000"/>
          <w:sz w:val="28"/>
          <w:szCs w:val="28"/>
        </w:rPr>
        <w:t>09:30</w:t>
      </w:r>
      <w:r>
        <w:rPr>
          <w:rFonts w:hint="eastAsia"/>
          <w:sz w:val="28"/>
          <w:szCs w:val="28"/>
        </w:rPr>
        <w:t>。</w:t>
      </w:r>
    </w:p>
    <w:p w14:paraId="5E1C41B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6E6080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本次公告仅在宜昌市中心人民医院官网（www.yczxyy.com）上发布，信息以本网站发布为准。</w:t>
      </w:r>
    </w:p>
    <w:p w14:paraId="2458D9E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F6108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78F4558">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0487FF87">
      <w:pPr>
        <w:ind w:firstLine="560" w:firstLineChars="200"/>
        <w:rPr>
          <w:rFonts w:hint="default" w:ascii="宋体" w:cs="Times New Roman"/>
          <w:sz w:val="28"/>
          <w:szCs w:val="28"/>
          <w:lang w:val="en-US"/>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38</w:t>
      </w:r>
    </w:p>
    <w:p w14:paraId="2A1B2885">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宜昌市中心人民医院伍家院区交通护栏采购项目</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2</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657AE4A6">
      <w:pPr>
        <w:widowControl/>
        <w:spacing w:line="500" w:lineRule="exact"/>
        <w:ind w:firstLine="560" w:firstLineChars="200"/>
        <w:jc w:val="left"/>
        <w:rPr>
          <w:rFonts w:hint="eastAsia" w:ascii="宋体" w:hAnsi="宋体" w:eastAsia="宋体" w:cs="宋体"/>
          <w:b/>
          <w:bCs/>
          <w:kern w:val="0"/>
          <w:sz w:val="28"/>
          <w:szCs w:val="28"/>
        </w:rPr>
      </w:pPr>
      <w:r>
        <w:rPr>
          <w:rFonts w:hint="eastAsia" w:ascii="宋体" w:hAnsi="宋体" w:eastAsia="宋体" w:cs="宋体"/>
          <w:sz w:val="28"/>
          <w:szCs w:val="28"/>
        </w:rPr>
        <w:t xml:space="preserve"> 伍家院区院内部分交通护栏破旧、老化，样式老旧且已使用10余年，影响美观又存在安全隐患，</w:t>
      </w:r>
      <w:r>
        <w:rPr>
          <w:rFonts w:hint="eastAsia" w:ascii="宋体" w:hAnsi="宋体" w:cs="宋体"/>
          <w:sz w:val="28"/>
          <w:szCs w:val="28"/>
          <w:lang w:val="en-US" w:eastAsia="zh-CN"/>
        </w:rPr>
        <w:t>拟采购33</w:t>
      </w:r>
      <w:r>
        <w:rPr>
          <w:rFonts w:hint="eastAsia" w:ascii="宋体" w:hAnsi="宋体" w:eastAsia="宋体" w:cs="宋体"/>
          <w:sz w:val="28"/>
          <w:szCs w:val="28"/>
        </w:rPr>
        <w:t>套</w:t>
      </w:r>
      <w:r>
        <w:rPr>
          <w:rFonts w:hint="eastAsia" w:ascii="宋体" w:hAnsi="宋体" w:cs="宋体"/>
          <w:sz w:val="28"/>
          <w:szCs w:val="28"/>
          <w:lang w:val="en-US" w:eastAsia="zh-CN"/>
        </w:rPr>
        <w:t>护栏进行更换，由供应商负责供货及安装</w:t>
      </w:r>
      <w:r>
        <w:rPr>
          <w:rFonts w:hint="eastAsia" w:ascii="宋体" w:hAnsi="宋体" w:eastAsia="宋体" w:cs="宋体"/>
          <w:sz w:val="28"/>
          <w:szCs w:val="28"/>
        </w:rPr>
        <w:t>。</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56815066">
      <w:pPr>
        <w:numPr>
          <w:ilvl w:val="0"/>
          <w:numId w:val="1"/>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货物、服务需求一览表</w:t>
      </w:r>
    </w:p>
    <w:tbl>
      <w:tblPr>
        <w:tblStyle w:val="10"/>
        <w:tblW w:w="10639" w:type="dxa"/>
        <w:jc w:val="center"/>
        <w:tblLayout w:type="fixed"/>
        <w:tblCellMar>
          <w:top w:w="56" w:type="dxa"/>
          <w:left w:w="96" w:type="dxa"/>
          <w:bottom w:w="56" w:type="dxa"/>
          <w:right w:w="96" w:type="dxa"/>
        </w:tblCellMar>
      </w:tblPr>
      <w:tblGrid>
        <w:gridCol w:w="1018"/>
        <w:gridCol w:w="1962"/>
        <w:gridCol w:w="1617"/>
        <w:gridCol w:w="852"/>
        <w:gridCol w:w="1730"/>
        <w:gridCol w:w="1730"/>
        <w:gridCol w:w="1730"/>
      </w:tblGrid>
      <w:tr w14:paraId="4D4D7DD8">
        <w:tblPrEx>
          <w:tblCellMar>
            <w:top w:w="56" w:type="dxa"/>
            <w:left w:w="96" w:type="dxa"/>
            <w:bottom w:w="56" w:type="dxa"/>
            <w:right w:w="96" w:type="dxa"/>
          </w:tblCellMar>
        </w:tblPrEx>
        <w:trPr>
          <w:trHeight w:val="0" w:hRule="atLeast"/>
          <w:tblHeader/>
          <w:jc w:val="center"/>
        </w:trPr>
        <w:tc>
          <w:tcPr>
            <w:tcW w:w="1018" w:type="dxa"/>
            <w:tcBorders>
              <w:top w:val="single" w:color="000000" w:sz="4" w:space="0"/>
              <w:left w:val="single" w:color="000000" w:sz="4" w:space="0"/>
            </w:tcBorders>
            <w:vAlign w:val="center"/>
          </w:tcPr>
          <w:p w14:paraId="5EDFB006">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名称</w:t>
            </w:r>
          </w:p>
        </w:tc>
        <w:tc>
          <w:tcPr>
            <w:tcW w:w="1962" w:type="dxa"/>
            <w:tcBorders>
              <w:top w:val="single" w:color="000000" w:sz="4" w:space="0"/>
              <w:left w:val="single" w:color="000000" w:sz="4" w:space="0"/>
            </w:tcBorders>
            <w:vAlign w:val="center"/>
          </w:tcPr>
          <w:p w14:paraId="4670CFCA">
            <w:pPr>
              <w:snapToGrid w:val="0"/>
              <w:jc w:val="center"/>
              <w:rPr>
                <w:rFonts w:hint="eastAsia"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t>图样</w:t>
            </w:r>
          </w:p>
        </w:tc>
        <w:tc>
          <w:tcPr>
            <w:tcW w:w="1617" w:type="dxa"/>
            <w:tcBorders>
              <w:top w:val="single" w:color="000000" w:sz="4" w:space="0"/>
              <w:left w:val="single" w:color="000000" w:sz="4" w:space="0"/>
            </w:tcBorders>
            <w:vAlign w:val="center"/>
          </w:tcPr>
          <w:p w14:paraId="70E04AA7">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规格（单位mm）</w:t>
            </w:r>
          </w:p>
        </w:tc>
        <w:tc>
          <w:tcPr>
            <w:tcW w:w="852" w:type="dxa"/>
            <w:tcBorders>
              <w:top w:val="single" w:color="000000" w:sz="4" w:space="0"/>
              <w:left w:val="single" w:color="000000" w:sz="4" w:space="0"/>
              <w:right w:val="single" w:color="000000" w:sz="4" w:space="0"/>
            </w:tcBorders>
            <w:vAlign w:val="center"/>
          </w:tcPr>
          <w:p w14:paraId="679CD370">
            <w:pPr>
              <w:widowControl/>
              <w:snapToGrid w:val="0"/>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eastAsia="zh-CN"/>
              </w:rPr>
              <w:t>高度mm</w:t>
            </w:r>
          </w:p>
        </w:tc>
        <w:tc>
          <w:tcPr>
            <w:tcW w:w="1730" w:type="dxa"/>
            <w:tcBorders>
              <w:top w:val="single" w:color="000000" w:sz="4" w:space="0"/>
              <w:left w:val="single" w:color="000000" w:sz="4" w:space="0"/>
              <w:right w:val="single" w:color="000000" w:sz="4" w:space="0"/>
            </w:tcBorders>
            <w:vAlign w:val="center"/>
          </w:tcPr>
          <w:p w14:paraId="066869C0">
            <w:pPr>
              <w:widowControl/>
              <w:snapToGrid w:val="0"/>
              <w:jc w:val="center"/>
              <w:textAlignment w:val="center"/>
              <w:rPr>
                <w:rFonts w:hint="eastAsia" w:ascii="宋体" w:hAnsi="宋体" w:eastAsia="宋体" w:cs="宋体"/>
                <w:b/>
                <w:color w:val="000000"/>
                <w:kern w:val="0"/>
                <w:sz w:val="18"/>
                <w:szCs w:val="18"/>
                <w:lang w:eastAsia="zh-CN"/>
              </w:rPr>
            </w:pPr>
            <w:r>
              <w:rPr>
                <w:rFonts w:hint="eastAsia" w:ascii="宋体" w:hAnsi="宋体" w:eastAsia="宋体" w:cs="宋体"/>
                <w:b/>
                <w:color w:val="000000"/>
                <w:kern w:val="0"/>
                <w:sz w:val="18"/>
                <w:szCs w:val="18"/>
                <w:lang w:eastAsia="zh-CN"/>
              </w:rPr>
              <w:t>备注</w:t>
            </w:r>
          </w:p>
        </w:tc>
        <w:tc>
          <w:tcPr>
            <w:tcW w:w="1730" w:type="dxa"/>
            <w:tcBorders>
              <w:top w:val="single" w:color="000000" w:sz="4" w:space="0"/>
              <w:left w:val="single" w:color="000000" w:sz="4" w:space="0"/>
              <w:right w:val="single" w:color="000000" w:sz="4" w:space="0"/>
            </w:tcBorders>
            <w:vAlign w:val="center"/>
          </w:tcPr>
          <w:p w14:paraId="10A9B28E">
            <w:pPr>
              <w:widowControl/>
              <w:snapToGrid w:val="0"/>
              <w:jc w:val="center"/>
              <w:textAlignment w:val="center"/>
              <w:rPr>
                <w:rFonts w:hint="default"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lang w:val="en-US" w:eastAsia="zh-CN"/>
              </w:rPr>
              <w:t>数量</w:t>
            </w:r>
          </w:p>
        </w:tc>
        <w:tc>
          <w:tcPr>
            <w:tcW w:w="1730" w:type="dxa"/>
            <w:tcBorders>
              <w:top w:val="single" w:color="000000" w:sz="4" w:space="0"/>
              <w:left w:val="single" w:color="000000" w:sz="4" w:space="0"/>
              <w:right w:val="single" w:color="000000" w:sz="4" w:space="0"/>
            </w:tcBorders>
            <w:vAlign w:val="center"/>
          </w:tcPr>
          <w:p w14:paraId="148577C7">
            <w:pPr>
              <w:widowControl/>
              <w:snapToGrid w:val="0"/>
              <w:jc w:val="center"/>
              <w:textAlignment w:val="center"/>
              <w:rPr>
                <w:rFonts w:hint="default"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lang w:val="en-US" w:eastAsia="zh-CN"/>
              </w:rPr>
              <w:t>单价（元/套）</w:t>
            </w:r>
          </w:p>
        </w:tc>
      </w:tr>
      <w:tr w14:paraId="77D6AAE9">
        <w:tblPrEx>
          <w:tblCellMar>
            <w:top w:w="56" w:type="dxa"/>
            <w:left w:w="96" w:type="dxa"/>
            <w:bottom w:w="56" w:type="dxa"/>
            <w:right w:w="96" w:type="dxa"/>
          </w:tblCellMar>
        </w:tblPrEx>
        <w:trPr>
          <w:trHeight w:val="0" w:hRule="atLeast"/>
          <w:jc w:val="center"/>
        </w:trPr>
        <w:tc>
          <w:tcPr>
            <w:tcW w:w="1018" w:type="dxa"/>
            <w:vMerge w:val="restart"/>
            <w:tcBorders>
              <w:top w:val="single" w:color="auto" w:sz="4" w:space="0"/>
              <w:left w:val="single" w:color="000000" w:sz="4" w:space="0"/>
              <w:right w:val="single" w:color="000000" w:sz="4" w:space="0"/>
            </w:tcBorders>
            <w:vAlign w:val="center"/>
          </w:tcPr>
          <w:p w14:paraId="14FDCFDC">
            <w:pPr>
              <w:widowControl/>
              <w:snapToGrid w:val="0"/>
              <w:jc w:val="center"/>
              <w:textAlignment w:val="center"/>
              <w:rPr>
                <w:rFonts w:ascii="宋体" w:hAnsi="宋体" w:eastAsia="宋体" w:cs="宋体"/>
                <w:sz w:val="18"/>
                <w:szCs w:val="18"/>
              </w:rPr>
            </w:pPr>
            <w:r>
              <w:rPr>
                <w:rFonts w:ascii="宋体" w:eastAsia="宋体"/>
                <w:sz w:val="18"/>
                <w:szCs w:val="18"/>
              </w:rPr>
              <w:drawing>
                <wp:anchor distT="0" distB="0" distL="114300" distR="114300" simplePos="0" relativeHeight="251659264" behindDoc="1" locked="0" layoutInCell="1" allowOverlap="1">
                  <wp:simplePos x="0" y="0"/>
                  <wp:positionH relativeFrom="column">
                    <wp:posOffset>549275</wp:posOffset>
                  </wp:positionH>
                  <wp:positionV relativeFrom="paragraph">
                    <wp:posOffset>285750</wp:posOffset>
                  </wp:positionV>
                  <wp:extent cx="1332865" cy="750570"/>
                  <wp:effectExtent l="0" t="0" r="635" b="1143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4"/>
                          <a:stretch>
                            <a:fillRect/>
                          </a:stretch>
                        </pic:blipFill>
                        <pic:spPr>
                          <a:xfrm>
                            <a:off x="0" y="0"/>
                            <a:ext cx="1332865" cy="750570"/>
                          </a:xfrm>
                          <a:prstGeom prst="rect">
                            <a:avLst/>
                          </a:prstGeom>
                          <a:noFill/>
                          <a:ln>
                            <a:noFill/>
                          </a:ln>
                        </pic:spPr>
                      </pic:pic>
                    </a:graphicData>
                  </a:graphic>
                </wp:anchor>
              </w:drawing>
            </w:r>
            <w:r>
              <w:rPr>
                <w:rFonts w:hint="eastAsia" w:ascii="宋体" w:hAnsi="宋体" w:eastAsia="宋体" w:cs="宋体"/>
                <w:sz w:val="18"/>
                <w:szCs w:val="18"/>
              </w:rPr>
              <w:t>交通护栏</w:t>
            </w:r>
          </w:p>
        </w:tc>
        <w:tc>
          <w:tcPr>
            <w:tcW w:w="1962" w:type="dxa"/>
            <w:vMerge w:val="restart"/>
            <w:tcBorders>
              <w:top w:val="single" w:color="auto" w:sz="4" w:space="0"/>
            </w:tcBorders>
            <w:vAlign w:val="center"/>
          </w:tcPr>
          <w:p w14:paraId="681BDA80">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0F9A4774">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立柱：φ114*3.0</w:t>
            </w:r>
          </w:p>
        </w:tc>
        <w:tc>
          <w:tcPr>
            <w:tcW w:w="852" w:type="dxa"/>
            <w:vMerge w:val="restart"/>
            <w:tcBorders>
              <w:top w:val="single" w:color="000000" w:sz="4" w:space="0"/>
              <w:left w:val="single" w:color="000000" w:sz="4" w:space="0"/>
              <w:right w:val="single" w:color="000000" w:sz="4" w:space="0"/>
            </w:tcBorders>
            <w:vAlign w:val="center"/>
          </w:tcPr>
          <w:p w14:paraId="2357DD2D">
            <w:pPr>
              <w:widowControl/>
              <w:snapToGrid w:val="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1010</w:t>
            </w:r>
          </w:p>
        </w:tc>
        <w:tc>
          <w:tcPr>
            <w:tcW w:w="1730" w:type="dxa"/>
            <w:tcBorders>
              <w:top w:val="single" w:color="000000" w:sz="4" w:space="0"/>
              <w:left w:val="single" w:color="000000" w:sz="4" w:space="0"/>
              <w:right w:val="single" w:color="000000" w:sz="4" w:space="0"/>
            </w:tcBorders>
            <w:vAlign w:val="center"/>
          </w:tcPr>
          <w:p w14:paraId="0F09F90D">
            <w:pPr>
              <w:snapToGrid w:val="0"/>
              <w:jc w:val="left"/>
              <w:rPr>
                <w:rFonts w:ascii="宋体" w:hAnsi="宋体" w:eastAsia="宋体" w:cs="宋体"/>
                <w:color w:val="000000"/>
                <w:sz w:val="18"/>
                <w:szCs w:val="18"/>
              </w:rPr>
            </w:pPr>
          </w:p>
        </w:tc>
        <w:tc>
          <w:tcPr>
            <w:tcW w:w="1730" w:type="dxa"/>
            <w:vMerge w:val="restart"/>
            <w:tcBorders>
              <w:top w:val="single" w:color="000000" w:sz="4" w:space="0"/>
              <w:left w:val="single" w:color="000000" w:sz="4" w:space="0"/>
              <w:right w:val="single" w:color="000000" w:sz="4" w:space="0"/>
            </w:tcBorders>
            <w:vAlign w:val="center"/>
          </w:tcPr>
          <w:p w14:paraId="5BE2ABC4">
            <w:pPr>
              <w:snapToGrid w:val="0"/>
              <w:jc w:val="lef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33套</w:t>
            </w:r>
          </w:p>
        </w:tc>
        <w:tc>
          <w:tcPr>
            <w:tcW w:w="1730" w:type="dxa"/>
            <w:vMerge w:val="restart"/>
            <w:tcBorders>
              <w:top w:val="single" w:color="000000" w:sz="4" w:space="0"/>
              <w:left w:val="single" w:color="000000" w:sz="4" w:space="0"/>
              <w:right w:val="single" w:color="000000" w:sz="4" w:space="0"/>
            </w:tcBorders>
            <w:vAlign w:val="center"/>
          </w:tcPr>
          <w:p w14:paraId="40A0F627">
            <w:pPr>
              <w:snapToGrid w:val="0"/>
              <w:jc w:val="left"/>
              <w:rPr>
                <w:rFonts w:ascii="宋体" w:hAnsi="宋体" w:eastAsia="宋体" w:cs="宋体"/>
                <w:color w:val="000000"/>
                <w:sz w:val="18"/>
                <w:szCs w:val="18"/>
              </w:rPr>
            </w:pPr>
          </w:p>
        </w:tc>
      </w:tr>
      <w:tr w14:paraId="563C3F4A">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110A2A4D">
            <w:pPr>
              <w:widowControl/>
              <w:snapToGrid w:val="0"/>
              <w:jc w:val="center"/>
              <w:textAlignment w:val="center"/>
              <w:rPr>
                <w:rFonts w:ascii="宋体" w:hAnsi="宋体" w:eastAsia="宋体" w:cs="宋体"/>
                <w:color w:val="000000"/>
                <w:sz w:val="18"/>
                <w:szCs w:val="18"/>
              </w:rPr>
            </w:pPr>
          </w:p>
        </w:tc>
        <w:tc>
          <w:tcPr>
            <w:tcW w:w="1962" w:type="dxa"/>
            <w:vMerge w:val="continue"/>
            <w:vAlign w:val="center"/>
          </w:tcPr>
          <w:p w14:paraId="4E05982D">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47ABC5C6">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面管：φ60*2.0</w:t>
            </w:r>
          </w:p>
        </w:tc>
        <w:tc>
          <w:tcPr>
            <w:tcW w:w="852" w:type="dxa"/>
            <w:vMerge w:val="continue"/>
            <w:tcBorders>
              <w:left w:val="single" w:color="000000" w:sz="4" w:space="0"/>
              <w:right w:val="single" w:color="000000" w:sz="4" w:space="0"/>
            </w:tcBorders>
            <w:vAlign w:val="center"/>
          </w:tcPr>
          <w:p w14:paraId="23CF0516">
            <w:pPr>
              <w:widowControl/>
              <w:snapToGrid w:val="0"/>
              <w:jc w:val="center"/>
              <w:textAlignment w:val="center"/>
              <w:rPr>
                <w:rFonts w:ascii="宋体" w:hAnsi="宋体" w:eastAsia="宋体" w:cs="宋体"/>
                <w:color w:val="000000"/>
                <w:sz w:val="18"/>
                <w:szCs w:val="18"/>
              </w:rPr>
            </w:pPr>
          </w:p>
        </w:tc>
        <w:tc>
          <w:tcPr>
            <w:tcW w:w="1730" w:type="dxa"/>
            <w:tcBorders>
              <w:left w:val="single" w:color="000000" w:sz="4" w:space="0"/>
              <w:right w:val="single" w:color="000000" w:sz="4" w:space="0"/>
            </w:tcBorders>
            <w:vAlign w:val="center"/>
          </w:tcPr>
          <w:p w14:paraId="5802F3C2">
            <w:pPr>
              <w:snapToGrid w:val="0"/>
              <w:jc w:val="left"/>
              <w:rPr>
                <w:rFonts w:ascii="宋体" w:hAnsi="宋体" w:eastAsia="宋体" w:cs="宋体"/>
                <w:color w:val="000000"/>
                <w:sz w:val="18"/>
                <w:szCs w:val="18"/>
              </w:rPr>
            </w:pPr>
            <w:r>
              <w:rPr>
                <w:rFonts w:ascii="宋体" w:hAnsi="宋体" w:eastAsia="宋体" w:cs="宋体"/>
                <w:color w:val="000000"/>
                <w:sz w:val="18"/>
                <w:szCs w:val="18"/>
              </w:rPr>
              <w:t>总长度约100</w:t>
            </w:r>
            <w:r>
              <w:rPr>
                <w:rFonts w:hint="eastAsia" w:ascii="宋体" w:hAnsi="宋体" w:eastAsia="宋体" w:cs="宋体"/>
                <w:color w:val="000000"/>
                <w:sz w:val="18"/>
                <w:szCs w:val="18"/>
              </w:rPr>
              <w:t>米</w:t>
            </w:r>
          </w:p>
        </w:tc>
        <w:tc>
          <w:tcPr>
            <w:tcW w:w="1730" w:type="dxa"/>
            <w:vMerge w:val="continue"/>
            <w:tcBorders>
              <w:left w:val="single" w:color="000000" w:sz="4" w:space="0"/>
              <w:right w:val="single" w:color="000000" w:sz="4" w:space="0"/>
            </w:tcBorders>
            <w:vAlign w:val="center"/>
          </w:tcPr>
          <w:p w14:paraId="3972B761">
            <w:pPr>
              <w:snapToGrid w:val="0"/>
              <w:jc w:val="left"/>
              <w:rPr>
                <w:rFonts w:ascii="宋体" w:hAnsi="宋体" w:eastAsia="宋体" w:cs="宋体"/>
                <w:color w:val="000000"/>
                <w:sz w:val="18"/>
                <w:szCs w:val="18"/>
              </w:rPr>
            </w:pPr>
          </w:p>
        </w:tc>
        <w:tc>
          <w:tcPr>
            <w:tcW w:w="1730" w:type="dxa"/>
            <w:vMerge w:val="continue"/>
            <w:tcBorders>
              <w:left w:val="single" w:color="000000" w:sz="4" w:space="0"/>
              <w:right w:val="single" w:color="000000" w:sz="4" w:space="0"/>
            </w:tcBorders>
            <w:vAlign w:val="center"/>
          </w:tcPr>
          <w:p w14:paraId="0CBF1C84">
            <w:pPr>
              <w:snapToGrid w:val="0"/>
              <w:jc w:val="left"/>
              <w:rPr>
                <w:rFonts w:ascii="宋体" w:hAnsi="宋体" w:eastAsia="宋体" w:cs="宋体"/>
                <w:color w:val="000000"/>
                <w:sz w:val="18"/>
                <w:szCs w:val="18"/>
              </w:rPr>
            </w:pPr>
          </w:p>
        </w:tc>
      </w:tr>
      <w:tr w14:paraId="620E4B6D">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4907A598">
            <w:pPr>
              <w:widowControl/>
              <w:snapToGrid w:val="0"/>
              <w:jc w:val="center"/>
              <w:textAlignment w:val="center"/>
              <w:rPr>
                <w:rFonts w:ascii="宋体" w:hAnsi="宋体" w:eastAsia="宋体" w:cs="宋体"/>
                <w:color w:val="000000"/>
                <w:sz w:val="18"/>
                <w:szCs w:val="18"/>
              </w:rPr>
            </w:pPr>
          </w:p>
        </w:tc>
        <w:tc>
          <w:tcPr>
            <w:tcW w:w="1962" w:type="dxa"/>
            <w:vMerge w:val="continue"/>
            <w:vAlign w:val="center"/>
          </w:tcPr>
          <w:p w14:paraId="45689D72">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000000" w:sz="4" w:space="0"/>
            </w:tcBorders>
            <w:vAlign w:val="center"/>
          </w:tcPr>
          <w:p w14:paraId="596D0776">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横管：φ48*2.0</w:t>
            </w:r>
          </w:p>
        </w:tc>
        <w:tc>
          <w:tcPr>
            <w:tcW w:w="852" w:type="dxa"/>
            <w:vMerge w:val="continue"/>
            <w:tcBorders>
              <w:left w:val="single" w:color="000000" w:sz="4" w:space="0"/>
              <w:right w:val="single" w:color="000000" w:sz="4" w:space="0"/>
            </w:tcBorders>
            <w:vAlign w:val="center"/>
          </w:tcPr>
          <w:p w14:paraId="46C42D08">
            <w:pPr>
              <w:snapToGrid w:val="0"/>
              <w:jc w:val="center"/>
              <w:rPr>
                <w:rFonts w:ascii="宋体" w:hAnsi="宋体" w:eastAsia="宋体" w:cs="宋体"/>
                <w:color w:val="000000"/>
                <w:sz w:val="18"/>
                <w:szCs w:val="18"/>
              </w:rPr>
            </w:pPr>
          </w:p>
        </w:tc>
        <w:tc>
          <w:tcPr>
            <w:tcW w:w="1730" w:type="dxa"/>
            <w:tcBorders>
              <w:left w:val="single" w:color="000000" w:sz="4" w:space="0"/>
              <w:right w:val="single" w:color="000000" w:sz="4" w:space="0"/>
            </w:tcBorders>
            <w:vAlign w:val="center"/>
          </w:tcPr>
          <w:p w14:paraId="6F006CB6">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表面处理：氟碳漆</w:t>
            </w:r>
          </w:p>
        </w:tc>
        <w:tc>
          <w:tcPr>
            <w:tcW w:w="1730" w:type="dxa"/>
            <w:vMerge w:val="continue"/>
            <w:tcBorders>
              <w:left w:val="single" w:color="000000" w:sz="4" w:space="0"/>
              <w:right w:val="single" w:color="000000" w:sz="4" w:space="0"/>
            </w:tcBorders>
            <w:vAlign w:val="center"/>
          </w:tcPr>
          <w:p w14:paraId="3D7428D2">
            <w:pPr>
              <w:snapToGrid w:val="0"/>
              <w:jc w:val="left"/>
              <w:rPr>
                <w:rFonts w:hint="eastAsia" w:ascii="宋体" w:hAnsi="宋体" w:eastAsia="宋体" w:cs="宋体"/>
                <w:color w:val="000000"/>
                <w:sz w:val="18"/>
                <w:szCs w:val="18"/>
              </w:rPr>
            </w:pPr>
          </w:p>
        </w:tc>
        <w:tc>
          <w:tcPr>
            <w:tcW w:w="1730" w:type="dxa"/>
            <w:vMerge w:val="continue"/>
            <w:tcBorders>
              <w:left w:val="single" w:color="000000" w:sz="4" w:space="0"/>
              <w:right w:val="single" w:color="000000" w:sz="4" w:space="0"/>
            </w:tcBorders>
            <w:vAlign w:val="center"/>
          </w:tcPr>
          <w:p w14:paraId="3C7D9FDC">
            <w:pPr>
              <w:snapToGrid w:val="0"/>
              <w:jc w:val="left"/>
              <w:rPr>
                <w:rFonts w:hint="eastAsia" w:ascii="宋体" w:hAnsi="宋体" w:eastAsia="宋体" w:cs="宋体"/>
                <w:color w:val="000000"/>
                <w:sz w:val="18"/>
                <w:szCs w:val="18"/>
              </w:rPr>
            </w:pPr>
          </w:p>
        </w:tc>
      </w:tr>
      <w:tr w14:paraId="003A8139">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right w:val="single" w:color="000000" w:sz="4" w:space="0"/>
            </w:tcBorders>
            <w:vAlign w:val="center"/>
          </w:tcPr>
          <w:p w14:paraId="7C57EABE">
            <w:pPr>
              <w:widowControl/>
              <w:snapToGrid w:val="0"/>
              <w:jc w:val="center"/>
              <w:textAlignment w:val="center"/>
              <w:rPr>
                <w:rFonts w:ascii="宋体" w:hAnsi="宋体" w:eastAsia="宋体" w:cs="宋体"/>
                <w:color w:val="000000"/>
                <w:sz w:val="18"/>
                <w:szCs w:val="18"/>
              </w:rPr>
            </w:pPr>
          </w:p>
        </w:tc>
        <w:tc>
          <w:tcPr>
            <w:tcW w:w="1962" w:type="dxa"/>
            <w:vMerge w:val="continue"/>
            <w:tcBorders>
              <w:bottom w:val="single" w:color="auto" w:sz="4" w:space="0"/>
            </w:tcBorders>
            <w:vAlign w:val="center"/>
          </w:tcPr>
          <w:p w14:paraId="53D57322">
            <w:pPr>
              <w:snapToGrid w:val="0"/>
              <w:jc w:val="center"/>
              <w:rPr>
                <w:rFonts w:ascii="宋体" w:hAnsi="宋体" w:eastAsia="宋体" w:cs="宋体"/>
                <w:color w:val="000000"/>
                <w:sz w:val="18"/>
                <w:szCs w:val="18"/>
              </w:rPr>
            </w:pPr>
          </w:p>
        </w:tc>
        <w:tc>
          <w:tcPr>
            <w:tcW w:w="1617" w:type="dxa"/>
            <w:tcBorders>
              <w:top w:val="single" w:color="000000" w:sz="4" w:space="0"/>
              <w:left w:val="single" w:color="000000" w:sz="4" w:space="0"/>
              <w:bottom w:val="single" w:color="auto" w:sz="4" w:space="0"/>
            </w:tcBorders>
            <w:vAlign w:val="center"/>
          </w:tcPr>
          <w:p w14:paraId="3EAEBFC9">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竖管：φ48*2.0</w:t>
            </w:r>
          </w:p>
        </w:tc>
        <w:tc>
          <w:tcPr>
            <w:tcW w:w="852" w:type="dxa"/>
            <w:vMerge w:val="continue"/>
            <w:tcBorders>
              <w:left w:val="single" w:color="000000" w:sz="4" w:space="0"/>
              <w:bottom w:val="single" w:color="auto" w:sz="4" w:space="0"/>
              <w:right w:val="single" w:color="000000" w:sz="4" w:space="0"/>
            </w:tcBorders>
            <w:vAlign w:val="center"/>
          </w:tcPr>
          <w:p w14:paraId="51005317">
            <w:pPr>
              <w:snapToGrid w:val="0"/>
              <w:jc w:val="center"/>
              <w:rPr>
                <w:rFonts w:ascii="宋体" w:hAnsi="宋体" w:eastAsia="宋体" w:cs="宋体"/>
                <w:color w:val="000000"/>
                <w:sz w:val="18"/>
                <w:szCs w:val="18"/>
              </w:rPr>
            </w:pPr>
          </w:p>
        </w:tc>
        <w:tc>
          <w:tcPr>
            <w:tcW w:w="1730" w:type="dxa"/>
            <w:tcBorders>
              <w:left w:val="single" w:color="000000" w:sz="4" w:space="0"/>
              <w:bottom w:val="single" w:color="auto" w:sz="4" w:space="0"/>
              <w:right w:val="single" w:color="000000" w:sz="4" w:space="0"/>
            </w:tcBorders>
            <w:vAlign w:val="center"/>
          </w:tcPr>
          <w:p w14:paraId="148087BA">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注：每套护栏配2根立柱</w:t>
            </w:r>
          </w:p>
        </w:tc>
        <w:tc>
          <w:tcPr>
            <w:tcW w:w="1730" w:type="dxa"/>
            <w:vMerge w:val="continue"/>
            <w:tcBorders>
              <w:left w:val="single" w:color="000000" w:sz="4" w:space="0"/>
              <w:bottom w:val="single" w:color="auto" w:sz="4" w:space="0"/>
              <w:right w:val="single" w:color="000000" w:sz="4" w:space="0"/>
            </w:tcBorders>
            <w:vAlign w:val="center"/>
          </w:tcPr>
          <w:p w14:paraId="073BE643">
            <w:pPr>
              <w:snapToGrid w:val="0"/>
              <w:jc w:val="left"/>
              <w:rPr>
                <w:rFonts w:hint="eastAsia" w:ascii="宋体" w:hAnsi="宋体" w:eastAsia="宋体" w:cs="宋体"/>
                <w:color w:val="000000"/>
                <w:sz w:val="18"/>
                <w:szCs w:val="18"/>
              </w:rPr>
            </w:pPr>
          </w:p>
        </w:tc>
        <w:tc>
          <w:tcPr>
            <w:tcW w:w="1730" w:type="dxa"/>
            <w:vMerge w:val="continue"/>
            <w:tcBorders>
              <w:left w:val="single" w:color="000000" w:sz="4" w:space="0"/>
              <w:bottom w:val="single" w:color="auto" w:sz="4" w:space="0"/>
              <w:right w:val="single" w:color="000000" w:sz="4" w:space="0"/>
            </w:tcBorders>
            <w:vAlign w:val="center"/>
          </w:tcPr>
          <w:p w14:paraId="28C84BB1">
            <w:pPr>
              <w:snapToGrid w:val="0"/>
              <w:jc w:val="left"/>
              <w:rPr>
                <w:rFonts w:hint="eastAsia" w:ascii="宋体" w:hAnsi="宋体" w:eastAsia="宋体" w:cs="宋体"/>
                <w:color w:val="000000"/>
                <w:sz w:val="18"/>
                <w:szCs w:val="18"/>
              </w:rPr>
            </w:pPr>
          </w:p>
        </w:tc>
      </w:tr>
      <w:tr w14:paraId="363CA5E0">
        <w:tblPrEx>
          <w:tblCellMar>
            <w:top w:w="56" w:type="dxa"/>
            <w:left w:w="96" w:type="dxa"/>
            <w:bottom w:w="56" w:type="dxa"/>
            <w:right w:w="96" w:type="dxa"/>
          </w:tblCellMar>
        </w:tblPrEx>
        <w:trPr>
          <w:trHeight w:val="0" w:hRule="atLeast"/>
          <w:jc w:val="center"/>
        </w:trPr>
        <w:tc>
          <w:tcPr>
            <w:tcW w:w="1018" w:type="dxa"/>
            <w:vMerge w:val="continue"/>
            <w:tcBorders>
              <w:left w:val="single" w:color="000000" w:sz="4" w:space="0"/>
              <w:bottom w:val="single" w:color="auto" w:sz="4" w:space="0"/>
              <w:right w:val="single" w:color="000000" w:sz="4" w:space="0"/>
            </w:tcBorders>
            <w:vAlign w:val="center"/>
          </w:tcPr>
          <w:p w14:paraId="37663F2D">
            <w:pPr>
              <w:widowControl/>
              <w:snapToGrid w:val="0"/>
              <w:jc w:val="center"/>
              <w:textAlignment w:val="center"/>
              <w:rPr>
                <w:rFonts w:ascii="宋体" w:hAnsi="宋体" w:eastAsia="宋体" w:cs="宋体"/>
                <w:color w:val="000000"/>
                <w:sz w:val="18"/>
                <w:szCs w:val="18"/>
              </w:rPr>
            </w:pPr>
          </w:p>
        </w:tc>
        <w:tc>
          <w:tcPr>
            <w:tcW w:w="1962" w:type="dxa"/>
            <w:tcBorders>
              <w:top w:val="single" w:color="auto" w:sz="4" w:space="0"/>
              <w:left w:val="single" w:color="000000" w:sz="4" w:space="0"/>
              <w:bottom w:val="single" w:color="auto" w:sz="4" w:space="0"/>
              <w:right w:val="single" w:color="auto" w:sz="4" w:space="0"/>
            </w:tcBorders>
            <w:vAlign w:val="center"/>
          </w:tcPr>
          <w:p w14:paraId="68926322">
            <w:pPr>
              <w:snapToGrid w:val="0"/>
              <w:ind w:firstLine="540" w:firstLineChars="300"/>
              <w:jc w:val="center"/>
              <w:rPr>
                <w:rFonts w:ascii="宋体" w:hAnsi="宋体" w:eastAsia="宋体" w:cs="宋体"/>
                <w:color w:val="000000"/>
                <w:sz w:val="18"/>
                <w:szCs w:val="18"/>
              </w:rPr>
            </w:pPr>
            <w:r>
              <w:rPr>
                <w:rFonts w:hint="eastAsia" w:ascii="宋体" w:hAnsi="宋体" w:eastAsia="宋体" w:cs="宋体"/>
                <w:color w:val="000000"/>
                <w:sz w:val="18"/>
                <w:szCs w:val="18"/>
              </w:rPr>
              <w:t>混凝土公安底座</w:t>
            </w:r>
          </w:p>
        </w:tc>
        <w:tc>
          <w:tcPr>
            <w:tcW w:w="1617" w:type="dxa"/>
            <w:tcBorders>
              <w:top w:val="single" w:color="auto" w:sz="4" w:space="0"/>
              <w:left w:val="single" w:color="auto" w:sz="4" w:space="0"/>
              <w:bottom w:val="single" w:color="auto" w:sz="4" w:space="0"/>
              <w:right w:val="single" w:color="auto" w:sz="4" w:space="0"/>
            </w:tcBorders>
            <w:vAlign w:val="center"/>
          </w:tcPr>
          <w:p w14:paraId="52F1FB9F">
            <w:pPr>
              <w:widowControl/>
              <w:snapToGrid w:val="0"/>
              <w:spacing w:line="400" w:lineRule="exact"/>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450*350*150</w:t>
            </w:r>
          </w:p>
        </w:tc>
        <w:tc>
          <w:tcPr>
            <w:tcW w:w="852" w:type="dxa"/>
            <w:tcBorders>
              <w:top w:val="single" w:color="auto" w:sz="4" w:space="0"/>
              <w:left w:val="single" w:color="auto" w:sz="4" w:space="0"/>
              <w:bottom w:val="single" w:color="auto" w:sz="4" w:space="0"/>
              <w:right w:val="single" w:color="auto" w:sz="4" w:space="0"/>
            </w:tcBorders>
            <w:vAlign w:val="center"/>
          </w:tcPr>
          <w:p w14:paraId="284EEEA9">
            <w:pPr>
              <w:snapToGrid w:val="0"/>
              <w:jc w:val="center"/>
              <w:rPr>
                <w:rFonts w:ascii="宋体" w:hAnsi="宋体" w:eastAsia="宋体" w:cs="宋体"/>
                <w:color w:val="000000"/>
                <w:sz w:val="18"/>
                <w:szCs w:val="18"/>
              </w:rPr>
            </w:pPr>
            <w:r>
              <w:rPr>
                <w:rFonts w:hint="eastAsia" w:ascii="宋体" w:hAnsi="宋体" w:eastAsia="宋体" w:cs="宋体"/>
                <w:color w:val="000000"/>
                <w:sz w:val="18"/>
                <w:szCs w:val="18"/>
              </w:rPr>
              <w:t>个</w:t>
            </w:r>
          </w:p>
        </w:tc>
        <w:tc>
          <w:tcPr>
            <w:tcW w:w="1730" w:type="dxa"/>
            <w:tcBorders>
              <w:top w:val="single" w:color="auto" w:sz="4" w:space="0"/>
              <w:left w:val="single" w:color="auto" w:sz="4" w:space="0"/>
              <w:bottom w:val="single" w:color="auto" w:sz="4" w:space="0"/>
              <w:right w:val="single" w:color="auto" w:sz="4" w:space="0"/>
            </w:tcBorders>
            <w:vAlign w:val="center"/>
          </w:tcPr>
          <w:p w14:paraId="77269272">
            <w:pPr>
              <w:snapToGrid w:val="0"/>
              <w:jc w:val="left"/>
              <w:rPr>
                <w:rFonts w:ascii="宋体" w:hAnsi="宋体" w:eastAsia="宋体" w:cs="宋体"/>
                <w:color w:val="000000"/>
                <w:sz w:val="18"/>
                <w:szCs w:val="18"/>
              </w:rPr>
            </w:pPr>
            <w:r>
              <w:rPr>
                <w:rFonts w:hint="eastAsia" w:ascii="宋体" w:hAnsi="宋体" w:eastAsia="宋体" w:cs="宋体"/>
                <w:color w:val="000000"/>
                <w:sz w:val="18"/>
                <w:szCs w:val="18"/>
              </w:rPr>
              <w:t>材质为热镀锌钢板填砼，黑色（氟碳漆饰面）</w:t>
            </w:r>
          </w:p>
        </w:tc>
        <w:tc>
          <w:tcPr>
            <w:tcW w:w="1730" w:type="dxa"/>
            <w:tcBorders>
              <w:top w:val="single" w:color="auto" w:sz="4" w:space="0"/>
              <w:left w:val="single" w:color="auto" w:sz="4" w:space="0"/>
              <w:bottom w:val="single" w:color="auto" w:sz="4" w:space="0"/>
              <w:right w:val="single" w:color="auto" w:sz="4" w:space="0"/>
            </w:tcBorders>
            <w:vAlign w:val="center"/>
          </w:tcPr>
          <w:p w14:paraId="0C7E42A1">
            <w:pPr>
              <w:snapToGrid w:val="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总计（元）</w:t>
            </w:r>
          </w:p>
        </w:tc>
        <w:tc>
          <w:tcPr>
            <w:tcW w:w="1730" w:type="dxa"/>
            <w:tcBorders>
              <w:top w:val="single" w:color="auto" w:sz="4" w:space="0"/>
              <w:left w:val="single" w:color="auto" w:sz="4" w:space="0"/>
              <w:bottom w:val="single" w:color="auto" w:sz="4" w:space="0"/>
              <w:right w:val="single" w:color="auto" w:sz="4" w:space="0"/>
            </w:tcBorders>
            <w:vAlign w:val="center"/>
          </w:tcPr>
          <w:p w14:paraId="24290CF9">
            <w:pPr>
              <w:snapToGrid w:val="0"/>
              <w:jc w:val="left"/>
              <w:rPr>
                <w:rFonts w:hint="eastAsia" w:ascii="宋体" w:hAnsi="宋体" w:eastAsia="宋体" w:cs="宋体"/>
                <w:color w:val="000000"/>
                <w:sz w:val="18"/>
                <w:szCs w:val="18"/>
              </w:rPr>
            </w:pPr>
          </w:p>
        </w:tc>
      </w:tr>
    </w:tbl>
    <w:tbl>
      <w:tblPr>
        <w:tblStyle w:val="10"/>
        <w:tblpPr w:leftFromText="180" w:rightFromText="180" w:vertAnchor="text" w:horzAnchor="margin" w:tblpX="-1085" w:tblpY="316"/>
        <w:tblW w:w="10665" w:type="dxa"/>
        <w:tblInd w:w="0" w:type="dxa"/>
        <w:tblLayout w:type="autofit"/>
        <w:tblCellMar>
          <w:top w:w="0" w:type="dxa"/>
          <w:left w:w="108" w:type="dxa"/>
          <w:bottom w:w="0" w:type="dxa"/>
          <w:right w:w="108" w:type="dxa"/>
        </w:tblCellMar>
      </w:tblPr>
      <w:tblGrid>
        <w:gridCol w:w="1034"/>
        <w:gridCol w:w="1681"/>
        <w:gridCol w:w="6267"/>
        <w:gridCol w:w="1683"/>
      </w:tblGrid>
      <w:tr w14:paraId="29904C5E">
        <w:tblPrEx>
          <w:tblCellMar>
            <w:top w:w="0" w:type="dxa"/>
            <w:left w:w="108" w:type="dxa"/>
            <w:bottom w:w="0" w:type="dxa"/>
            <w:right w:w="108" w:type="dxa"/>
          </w:tblCellMar>
        </w:tblPrEx>
        <w:trPr>
          <w:trHeight w:val="44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8DE18">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序号</w:t>
            </w:r>
          </w:p>
        </w:tc>
        <w:tc>
          <w:tcPr>
            <w:tcW w:w="1681" w:type="dxa"/>
            <w:tcBorders>
              <w:top w:val="single" w:color="auto" w:sz="4" w:space="0"/>
              <w:left w:val="nil"/>
              <w:bottom w:val="single" w:color="auto" w:sz="4" w:space="0"/>
              <w:right w:val="single" w:color="auto" w:sz="4" w:space="0"/>
            </w:tcBorders>
            <w:shd w:val="clear" w:color="auto" w:fill="auto"/>
            <w:vAlign w:val="center"/>
          </w:tcPr>
          <w:p w14:paraId="27DD17CF">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货物/服务名称</w:t>
            </w:r>
          </w:p>
        </w:tc>
        <w:tc>
          <w:tcPr>
            <w:tcW w:w="6267" w:type="dxa"/>
            <w:tcBorders>
              <w:top w:val="single" w:color="auto" w:sz="4" w:space="0"/>
              <w:left w:val="nil"/>
              <w:bottom w:val="single" w:color="auto" w:sz="4" w:space="0"/>
              <w:right w:val="single" w:color="auto" w:sz="4" w:space="0"/>
            </w:tcBorders>
            <w:shd w:val="clear" w:color="auto" w:fill="auto"/>
            <w:noWrap/>
            <w:vAlign w:val="center"/>
          </w:tcPr>
          <w:p w14:paraId="67E738EA">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技术规格参数、服务要求</w:t>
            </w:r>
          </w:p>
        </w:tc>
        <w:tc>
          <w:tcPr>
            <w:tcW w:w="1683" w:type="dxa"/>
            <w:tcBorders>
              <w:top w:val="single" w:color="auto" w:sz="4" w:space="0"/>
              <w:left w:val="nil"/>
              <w:bottom w:val="single" w:color="auto" w:sz="4" w:space="0"/>
              <w:right w:val="single" w:color="auto" w:sz="4" w:space="0"/>
            </w:tcBorders>
            <w:shd w:val="clear" w:color="auto" w:fill="auto"/>
            <w:noWrap/>
            <w:vAlign w:val="center"/>
          </w:tcPr>
          <w:p w14:paraId="2C7F453F">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备注</w:t>
            </w:r>
          </w:p>
        </w:tc>
      </w:tr>
      <w:tr w14:paraId="55773DBF">
        <w:tblPrEx>
          <w:tblCellMar>
            <w:top w:w="0" w:type="dxa"/>
            <w:left w:w="108" w:type="dxa"/>
            <w:bottom w:w="0" w:type="dxa"/>
            <w:right w:w="108" w:type="dxa"/>
          </w:tblCellMar>
        </w:tblPrEx>
        <w:trPr>
          <w:trHeight w:val="3085" w:hRule="atLeast"/>
        </w:trPr>
        <w:tc>
          <w:tcPr>
            <w:tcW w:w="1034" w:type="dxa"/>
            <w:tcBorders>
              <w:top w:val="nil"/>
              <w:left w:val="single" w:color="auto" w:sz="4" w:space="0"/>
              <w:bottom w:val="single" w:color="auto" w:sz="4" w:space="0"/>
              <w:right w:val="single" w:color="auto" w:sz="4" w:space="0"/>
            </w:tcBorders>
            <w:shd w:val="clear" w:color="000000" w:fill="FFFFFF"/>
            <w:vAlign w:val="center"/>
          </w:tcPr>
          <w:p w14:paraId="1FCE7AC2">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1</w:t>
            </w:r>
          </w:p>
        </w:tc>
        <w:tc>
          <w:tcPr>
            <w:tcW w:w="1681" w:type="dxa"/>
            <w:tcBorders>
              <w:top w:val="nil"/>
              <w:left w:val="nil"/>
              <w:bottom w:val="single" w:color="auto" w:sz="4" w:space="0"/>
              <w:right w:val="single" w:color="auto" w:sz="4" w:space="0"/>
            </w:tcBorders>
            <w:shd w:val="clear" w:color="000000" w:fill="FFFFFF"/>
            <w:vAlign w:val="center"/>
          </w:tcPr>
          <w:p w14:paraId="4F481854">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宋体"/>
                <w:color w:val="auto"/>
                <w:kern w:val="2"/>
                <w:sz w:val="18"/>
                <w:szCs w:val="18"/>
                <w:lang w:val="en-US" w:eastAsia="zh-CN" w:bidi="ar-SA"/>
              </w:rPr>
              <w:t>交通护栏</w:t>
            </w:r>
          </w:p>
        </w:tc>
        <w:tc>
          <w:tcPr>
            <w:tcW w:w="6267" w:type="dxa"/>
            <w:tcBorders>
              <w:top w:val="nil"/>
              <w:left w:val="nil"/>
              <w:bottom w:val="single" w:color="auto" w:sz="4" w:space="0"/>
              <w:right w:val="single" w:color="auto" w:sz="4" w:space="0"/>
            </w:tcBorders>
            <w:shd w:val="clear" w:color="000000" w:fill="FFFFFF"/>
            <w:vAlign w:val="center"/>
          </w:tcPr>
          <w:p w14:paraId="1BDA1CAB">
            <w:pPr>
              <w:widowControl w:val="0"/>
              <w:tabs>
                <w:tab w:val="left" w:pos="3300"/>
                <w:tab w:val="left" w:pos="3630"/>
              </w:tabs>
              <w:contextualSpacing/>
              <w:jc w:val="left"/>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高度为含柱帽底座立柱1010mm，每片长2886mm，护栏横管型材采用镀锌层厚度不低于80g/㎡的∮60*2.0mm 热镀锌圆管，上下横管相同，中间为∮48*2.0mm 的热镀锌圆管焊接，护栏片必须整体满焊，不得有间隙孔，不得使用其它物充填孔，型材端部焊接完整后应打磨、去毛刺，单片护栏重量不低于48㎏。表层为深灰色静电喷涂，采用纯聚脂彩色粉末喷涂工艺(喷涂层达到90微米)；护栏构件喷涂层应均匀，色泽统一，表面光滑、平整。无疤斑、无滴流、无明显凹凸、无熔渣；不得有剥落、气泡、裂纹、擦伤等表面缺陷；保质期内护栏整体不得因技术质量出现锈迹、裂痕、脱漆（机械清洗车自动清洗不掉漆）和明显褪色。</w:t>
            </w:r>
          </w:p>
        </w:tc>
        <w:tc>
          <w:tcPr>
            <w:tcW w:w="1683" w:type="dxa"/>
            <w:vMerge w:val="restart"/>
            <w:tcBorders>
              <w:top w:val="nil"/>
              <w:left w:val="nil"/>
              <w:right w:val="single" w:color="auto" w:sz="4" w:space="0"/>
            </w:tcBorders>
            <w:shd w:val="clear" w:color="auto" w:fill="auto"/>
            <w:vAlign w:val="center"/>
          </w:tcPr>
          <w:p w14:paraId="198A90E8">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图纸中标注的反光膜要求为 3M EGP 级反光膜。　</w:t>
            </w:r>
          </w:p>
          <w:p w14:paraId="73E5E460">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　</w:t>
            </w:r>
          </w:p>
        </w:tc>
      </w:tr>
      <w:tr w14:paraId="3851E532">
        <w:tblPrEx>
          <w:tblCellMar>
            <w:top w:w="0" w:type="dxa"/>
            <w:left w:w="108" w:type="dxa"/>
            <w:bottom w:w="0" w:type="dxa"/>
            <w:right w:w="108" w:type="dxa"/>
          </w:tblCellMar>
        </w:tblPrEx>
        <w:trPr>
          <w:trHeight w:val="1558" w:hRule="atLeast"/>
        </w:trPr>
        <w:tc>
          <w:tcPr>
            <w:tcW w:w="1034" w:type="dxa"/>
            <w:tcBorders>
              <w:top w:val="nil"/>
              <w:left w:val="single" w:color="auto" w:sz="4" w:space="0"/>
              <w:bottom w:val="single" w:color="auto" w:sz="4" w:space="0"/>
              <w:right w:val="single" w:color="auto" w:sz="4" w:space="0"/>
            </w:tcBorders>
            <w:shd w:val="clear" w:color="000000" w:fill="FFFFFF"/>
            <w:vAlign w:val="center"/>
          </w:tcPr>
          <w:p w14:paraId="5A88A06D">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2</w:t>
            </w:r>
          </w:p>
        </w:tc>
        <w:tc>
          <w:tcPr>
            <w:tcW w:w="1681" w:type="dxa"/>
            <w:tcBorders>
              <w:top w:val="nil"/>
              <w:left w:val="nil"/>
              <w:bottom w:val="single" w:color="auto" w:sz="4" w:space="0"/>
              <w:right w:val="single" w:color="auto" w:sz="4" w:space="0"/>
            </w:tcBorders>
            <w:shd w:val="clear" w:color="000000" w:fill="FFFFFF"/>
            <w:vAlign w:val="center"/>
          </w:tcPr>
          <w:p w14:paraId="467F5FD9">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r>
              <w:rPr>
                <w:rFonts w:hint="eastAsia" w:ascii="宋体" w:hAnsi="宋体" w:eastAsia="宋体" w:cs="宋体"/>
                <w:color w:val="auto"/>
                <w:kern w:val="2"/>
                <w:sz w:val="18"/>
                <w:szCs w:val="18"/>
                <w:lang w:val="en-US" w:eastAsia="zh-CN" w:bidi="ar-SA"/>
              </w:rPr>
              <w:t>交通护栏</w:t>
            </w:r>
          </w:p>
        </w:tc>
        <w:tc>
          <w:tcPr>
            <w:tcW w:w="6267" w:type="dxa"/>
            <w:tcBorders>
              <w:top w:val="single" w:color="auto" w:sz="4" w:space="0"/>
              <w:left w:val="nil"/>
              <w:bottom w:val="single" w:color="auto" w:sz="4" w:space="0"/>
              <w:right w:val="single" w:color="auto" w:sz="4" w:space="0"/>
            </w:tcBorders>
            <w:shd w:val="clear" w:color="000000" w:fill="FFFFFF"/>
            <w:vAlign w:val="center"/>
          </w:tcPr>
          <w:p w14:paraId="1F8CD10A">
            <w:pPr>
              <w:widowControl w:val="0"/>
              <w:tabs>
                <w:tab w:val="left" w:pos="3300"/>
                <w:tab w:val="left" w:pos="3630"/>
              </w:tabs>
              <w:contextualSpacing/>
              <w:jc w:val="left"/>
              <w:rPr>
                <w:rFonts w:ascii="宋体" w:hAnsi="宋体" w:eastAsia="宋体" w:cs="Courier New"/>
                <w:color w:val="auto"/>
                <w:spacing w:val="2"/>
                <w:kern w:val="2"/>
                <w:sz w:val="18"/>
                <w:szCs w:val="18"/>
                <w:lang w:val="en-US" w:eastAsia="zh-CN" w:bidi="ar-SA"/>
              </w:rPr>
            </w:pPr>
            <w:r>
              <w:rPr>
                <w:rFonts w:hint="eastAsia" w:ascii="宋体" w:hAnsi="宋体" w:eastAsia="宋体" w:cs="Courier New"/>
                <w:color w:val="auto"/>
                <w:spacing w:val="2"/>
                <w:kern w:val="2"/>
                <w:sz w:val="18"/>
                <w:szCs w:val="18"/>
                <w:lang w:val="en-US" w:eastAsia="zh-CN" w:bidi="ar-SA"/>
              </w:rPr>
              <w:t>高度为含柱帽底座立柱600mm，采用∮114mm×3.0mm 热镀锌圆管，立柱帽采用金属冲压件，造型为圆球造型，立柱上贴两条黄色反光膜，反光膜绕立柱一周，高度为100mm；护栏立柱与拦片之间必须采用钢质连接件连接，钢质连接件安装孔孔距尺寸应符合图纸公差限制要求，不得采用焊接方式。表层为深灰色静电喷涂。</w:t>
            </w:r>
          </w:p>
        </w:tc>
        <w:tc>
          <w:tcPr>
            <w:tcW w:w="1683" w:type="dxa"/>
            <w:vMerge w:val="continue"/>
            <w:tcBorders>
              <w:left w:val="nil"/>
              <w:bottom w:val="single" w:color="auto" w:sz="4" w:space="0"/>
              <w:right w:val="single" w:color="auto" w:sz="4" w:space="0"/>
            </w:tcBorders>
            <w:shd w:val="clear" w:color="auto" w:fill="auto"/>
            <w:vAlign w:val="center"/>
          </w:tcPr>
          <w:p w14:paraId="783C31DD">
            <w:pPr>
              <w:widowControl w:val="0"/>
              <w:tabs>
                <w:tab w:val="left" w:pos="3300"/>
                <w:tab w:val="left" w:pos="3630"/>
              </w:tabs>
              <w:contextualSpacing/>
              <w:jc w:val="center"/>
              <w:rPr>
                <w:rFonts w:ascii="宋体" w:hAnsi="宋体" w:eastAsia="宋体" w:cs="Courier New"/>
                <w:color w:val="auto"/>
                <w:spacing w:val="2"/>
                <w:kern w:val="2"/>
                <w:sz w:val="18"/>
                <w:szCs w:val="18"/>
                <w:lang w:val="en-US" w:eastAsia="zh-CN" w:bidi="ar-SA"/>
              </w:rPr>
            </w:pPr>
          </w:p>
        </w:tc>
      </w:tr>
    </w:tbl>
    <w:p w14:paraId="7C593F07">
      <w:pPr>
        <w:numPr>
          <w:ilvl w:val="0"/>
          <w:numId w:val="0"/>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注：投标人投标时必须注明单价，单价包含</w:t>
      </w:r>
      <w:r>
        <w:rPr>
          <w:rFonts w:hint="eastAsia" w:ascii="宋体" w:hAnsi="宋体"/>
          <w:b/>
          <w:sz w:val="28"/>
          <w:szCs w:val="28"/>
          <w:lang w:val="en-US" w:eastAsia="zh-CN"/>
        </w:rPr>
        <w:t>货物</w:t>
      </w:r>
      <w:r>
        <w:rPr>
          <w:rFonts w:hint="eastAsia" w:ascii="宋体" w:hAnsi="宋体" w:eastAsia="宋体"/>
          <w:b/>
          <w:sz w:val="28"/>
          <w:szCs w:val="28"/>
        </w:rPr>
        <w:t>、运输、税费、调试、安装等一切费用。</w:t>
      </w:r>
    </w:p>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240" w:lineRule="auto"/>
        <w:ind w:firstLine="560" w:firstLineChars="200"/>
        <w:jc w:val="left"/>
        <w:rPr>
          <w:rFonts w:ascii="宋体" w:eastAsia="宋体" w:cs="Times New Roman"/>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15</w:t>
      </w:r>
      <w:r>
        <w:rPr>
          <w:rFonts w:hint="eastAsia" w:ascii="宋体" w:hAnsi="宋体" w:eastAsia="宋体" w:cs="宋体"/>
          <w:kern w:val="0"/>
          <w:sz w:val="28"/>
          <w:szCs w:val="28"/>
        </w:rPr>
        <w:t>个</w:t>
      </w:r>
      <w:r>
        <w:rPr>
          <w:rFonts w:hint="eastAsia" w:ascii="宋体" w:hAnsi="宋体" w:cs="宋体"/>
          <w:kern w:val="0"/>
          <w:sz w:val="28"/>
          <w:szCs w:val="28"/>
          <w:lang w:val="en-US" w:eastAsia="zh-CN"/>
        </w:rPr>
        <w:t>日历天</w:t>
      </w:r>
      <w:r>
        <w:rPr>
          <w:rFonts w:hint="eastAsia" w:ascii="宋体" w:hAnsi="宋体" w:eastAsia="宋体" w:cs="宋体"/>
          <w:kern w:val="0"/>
          <w:sz w:val="28"/>
          <w:szCs w:val="28"/>
        </w:rPr>
        <w:t>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w:t>
      </w:r>
    </w:p>
    <w:p w14:paraId="6BCD28AE">
      <w:pPr>
        <w:spacing w:line="240" w:lineRule="auto"/>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14:paraId="402E3855">
      <w:pPr>
        <w:widowControl/>
        <w:spacing w:line="240" w:lineRule="auto"/>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3、提供的货物为全新、正品，不得提供假冒伪劣产品，若采购人对所送商品存疑，采购人可任意抽取一款货物，对其实行相关质量标准进行送检，中标供应商承担抽检等所产生的所有费用。。</w:t>
      </w:r>
    </w:p>
    <w:p w14:paraId="2C3E7DA6">
      <w:pPr>
        <w:widowControl/>
        <w:spacing w:line="240" w:lineRule="auto"/>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4、质保期：1年，中标供应商在接采购人维修通知后2小时做出响应，普通维修任务须4小时内解决，不能在规定时间内修复，需向采购人提出书面申请并说明原因；</w:t>
      </w:r>
    </w:p>
    <w:p w14:paraId="46F5CE8E">
      <w:pPr>
        <w:widowControl/>
        <w:spacing w:line="240" w:lineRule="auto"/>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cs="Times New Roman"/>
          <w:bCs/>
          <w:kern w:val="0"/>
          <w:sz w:val="28"/>
          <w:szCs w:val="28"/>
          <w:lang w:val="en-US" w:eastAsia="zh-CN"/>
        </w:rPr>
        <w:t>45</w:t>
      </w:r>
      <w:r>
        <w:rPr>
          <w:rFonts w:hint="eastAsia" w:ascii="宋体" w:eastAsia="宋体" w:cs="Times New Roman"/>
          <w:bCs/>
          <w:kern w:val="0"/>
          <w:sz w:val="28"/>
          <w:szCs w:val="28"/>
          <w:lang w:val="en-US" w:eastAsia="zh-CN"/>
        </w:rPr>
        <w:t>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合同金额的</w:t>
      </w:r>
      <w:r>
        <w:rPr>
          <w:rFonts w:hint="eastAsia" w:ascii="宋体" w:eastAsia="宋体" w:cs="Times New Roman"/>
          <w:bCs/>
          <w:kern w:val="0"/>
          <w:sz w:val="28"/>
          <w:szCs w:val="28"/>
        </w:rPr>
        <w:t>9</w:t>
      </w:r>
      <w:r>
        <w:rPr>
          <w:rFonts w:hint="eastAsia" w:ascii="宋体" w:cs="Times New Roman"/>
          <w:bCs/>
          <w:kern w:val="0"/>
          <w:sz w:val="28"/>
          <w:szCs w:val="28"/>
          <w:lang w:val="en-US" w:eastAsia="zh-CN"/>
        </w:rPr>
        <w:t>5</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5</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cs="Times New Roman"/>
          <w:bCs/>
          <w:kern w:val="0"/>
          <w:sz w:val="28"/>
          <w:szCs w:val="28"/>
          <w:lang w:val="en-US" w:eastAsia="zh-CN"/>
        </w:rPr>
        <w:t>1</w:t>
      </w:r>
      <w:r>
        <w:rPr>
          <w:rFonts w:hint="eastAsia" w:ascii="宋体" w:eastAsia="宋体" w:cs="Times New Roman"/>
          <w:bCs/>
          <w:kern w:val="0"/>
          <w:sz w:val="28"/>
          <w:szCs w:val="28"/>
        </w:rPr>
        <w:t>年无任何质量问题无息</w:t>
      </w:r>
      <w:r>
        <w:rPr>
          <w:rFonts w:hint="eastAsia" w:ascii="宋体" w:eastAsia="宋体" w:cs="Times New Roman"/>
          <w:bCs/>
          <w:kern w:val="0"/>
          <w:sz w:val="28"/>
          <w:szCs w:val="28"/>
          <w:lang w:val="en-US" w:eastAsia="zh-CN"/>
        </w:rPr>
        <w:t>支付，采用</w:t>
      </w:r>
      <w:r>
        <w:rPr>
          <w:rFonts w:hint="eastAsia" w:ascii="宋体" w:cs="Times New Roman"/>
          <w:bCs/>
          <w:kern w:val="0"/>
          <w:sz w:val="28"/>
          <w:szCs w:val="28"/>
          <w:lang w:val="en-US" w:eastAsia="zh-CN"/>
        </w:rPr>
        <w:t>电汇方式</w:t>
      </w:r>
      <w:r>
        <w:rPr>
          <w:rFonts w:hint="eastAsia" w:ascii="宋体" w:eastAsia="宋体" w:cs="Times New Roman"/>
          <w:bCs/>
          <w:kern w:val="0"/>
          <w:sz w:val="28"/>
          <w:szCs w:val="28"/>
          <w:lang w:val="en-US" w:eastAsia="zh-CN"/>
        </w:rPr>
        <w:t>结算，成交供应商提供正规增值税发票</w:t>
      </w:r>
      <w:r>
        <w:rPr>
          <w:rFonts w:hint="eastAsia" w:ascii="宋体" w:eastAsia="宋体" w:cs="Times New Roman"/>
          <w:bCs/>
          <w:kern w:val="0"/>
          <w:sz w:val="28"/>
          <w:szCs w:val="28"/>
        </w:rPr>
        <w:t>。</w:t>
      </w:r>
    </w:p>
    <w:p w14:paraId="18641685">
      <w:pPr>
        <w:spacing w:line="240" w:lineRule="auto"/>
        <w:jc w:val="left"/>
        <w:rPr>
          <w:rFonts w:hint="default" w:ascii="宋体" w:hAnsi="宋体" w:eastAsia="宋体" w:cs="宋体"/>
          <w:b/>
          <w:kern w:val="0"/>
          <w:sz w:val="28"/>
          <w:szCs w:val="28"/>
          <w:lang w:val="en-US" w:eastAsia="zh-CN"/>
        </w:rPr>
      </w:pPr>
      <w:r>
        <w:rPr>
          <w:rFonts w:hint="eastAsia" w:ascii="宋体" w:hAnsi="宋体" w:cs="宋体"/>
          <w:b/>
          <w:kern w:val="0"/>
          <w:sz w:val="28"/>
          <w:szCs w:val="28"/>
          <w:lang w:val="en-US" w:eastAsia="zh-CN"/>
        </w:rPr>
        <w:t xml:space="preserve">  </w:t>
      </w:r>
      <w:r>
        <w:rPr>
          <w:rFonts w:hint="eastAsia" w:ascii="宋体" w:eastAsia="宋体" w:cs="Times New Roman"/>
          <w:bCs/>
          <w:kern w:val="0"/>
          <w:sz w:val="28"/>
          <w:szCs w:val="28"/>
          <w:lang w:val="en-US" w:eastAsia="zh-CN"/>
        </w:rPr>
        <w:t xml:space="preserve">  6、在验收过程中发现质量、技术参数不符或表面瑕疵等问题，中标</w:t>
      </w:r>
      <w:r>
        <w:rPr>
          <w:rFonts w:hint="eastAsia" w:ascii="宋体" w:cs="Times New Roman"/>
          <w:bCs/>
          <w:kern w:val="0"/>
          <w:sz w:val="28"/>
          <w:szCs w:val="28"/>
          <w:lang w:val="en-US" w:eastAsia="zh-CN"/>
        </w:rPr>
        <w:t>人</w:t>
      </w:r>
      <w:r>
        <w:rPr>
          <w:rFonts w:hint="eastAsia" w:ascii="宋体" w:eastAsia="宋体" w:cs="Times New Roman"/>
          <w:bCs/>
          <w:kern w:val="0"/>
          <w:sz w:val="28"/>
          <w:szCs w:val="28"/>
          <w:lang w:val="en-US" w:eastAsia="zh-CN"/>
        </w:rPr>
        <w:t>应负责按照采购人的要求采取补足、更换或退货等处理措施，并承担由此发生的一切费用和损失。</w:t>
      </w:r>
    </w:p>
    <w:p w14:paraId="218007A3">
      <w:pPr>
        <w:jc w:val="left"/>
        <w:rPr>
          <w:rFonts w:hint="eastAsia" w:ascii="宋体" w:hAnsi="宋体" w:cs="宋体"/>
          <w:b/>
          <w:kern w:val="0"/>
          <w:sz w:val="28"/>
          <w:szCs w:val="28"/>
        </w:rPr>
      </w:pP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5E5AB46C">
            <w:pPr>
              <w:spacing w:line="460" w:lineRule="exact"/>
              <w:jc w:val="center"/>
              <w:rPr>
                <w:rFonts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76649B22">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795009CB">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0DD4E56F">
            <w:pPr>
              <w:spacing w:line="460" w:lineRule="exact"/>
              <w:rPr>
                <w:rFonts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spacing w:line="460" w:lineRule="exact"/>
              <w:rPr>
                <w:rFonts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spacing w:line="460" w:lineRule="exact"/>
              <w:rPr>
                <w:rFonts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spacing w:line="460" w:lineRule="exact"/>
              <w:rPr>
                <w:rFonts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spacing w:line="460" w:lineRule="exact"/>
              <w:rPr>
                <w:rFonts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spacing w:line="360" w:lineRule="exact"/>
              <w:jc w:val="left"/>
              <w:rPr>
                <w:rFonts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spacing w:line="360" w:lineRule="exact"/>
              <w:jc w:val="left"/>
              <w:rPr>
                <w:rFonts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277B61F">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2"/>
        <w:jc w:val="center"/>
      </w:pPr>
      <w:bookmarkStart w:id="1" w:name="_Toc456291165"/>
      <w:bookmarkStart w:id="2" w:name="_Toc462487372"/>
      <w:bookmarkStart w:id="3" w:name="_Toc456291354"/>
      <w:bookmarkStart w:id="4" w:name="_Toc456291479"/>
      <w:bookmarkStart w:id="5" w:name="_Toc456291260"/>
      <w:bookmarkStart w:id="6" w:name="_Toc456291537"/>
      <w:bookmarkStart w:id="7" w:name="_Toc456291280"/>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5"/>
        <w:jc w:val="center"/>
        <w:rPr>
          <w:rFonts w:ascii="黑体" w:hAnsi="黑体" w:eastAsia="黑体"/>
          <w:b/>
          <w:bCs/>
          <w:sz w:val="44"/>
          <w:szCs w:val="44"/>
        </w:rPr>
      </w:pPr>
    </w:p>
    <w:p w14:paraId="69C7613F">
      <w:pPr>
        <w:pStyle w:val="25"/>
        <w:jc w:val="center"/>
        <w:rPr>
          <w:rFonts w:ascii="黑体" w:hAnsi="黑体" w:eastAsia="黑体"/>
          <w:b/>
          <w:bCs/>
          <w:sz w:val="44"/>
          <w:szCs w:val="44"/>
        </w:rPr>
      </w:pPr>
    </w:p>
    <w:p w14:paraId="3A49FDF4">
      <w:pPr>
        <w:pStyle w:val="25"/>
        <w:rPr>
          <w:rFonts w:ascii="楷体_GB2312" w:eastAsia="楷体_GB2312"/>
          <w:b/>
          <w:bCs/>
          <w:sz w:val="54"/>
        </w:rPr>
      </w:pPr>
    </w:p>
    <w:p w14:paraId="420577D6">
      <w:pPr>
        <w:pStyle w:val="25"/>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5"/>
        <w:spacing w:line="500" w:lineRule="exact"/>
        <w:rPr>
          <w:rFonts w:ascii="楷体_GB2312" w:eastAsia="楷体_GB2312"/>
          <w:b/>
          <w:sz w:val="32"/>
          <w:szCs w:val="32"/>
        </w:rPr>
      </w:pPr>
    </w:p>
    <w:p w14:paraId="28695AE9">
      <w:pPr>
        <w:pStyle w:val="25"/>
        <w:spacing w:line="500" w:lineRule="exact"/>
        <w:ind w:firstLine="562" w:firstLineChars="200"/>
        <w:rPr>
          <w:rFonts w:ascii="楷体_GB2312" w:eastAsia="楷体_GB2312"/>
          <w:b/>
          <w:sz w:val="28"/>
        </w:rPr>
      </w:pPr>
    </w:p>
    <w:p w14:paraId="66EC0F94">
      <w:pPr>
        <w:pStyle w:val="25"/>
        <w:spacing w:line="500" w:lineRule="exact"/>
        <w:ind w:firstLine="560" w:firstLineChars="200"/>
        <w:rPr>
          <w:rFonts w:ascii="楷体_GB2312" w:eastAsia="楷体_GB2312"/>
          <w:sz w:val="28"/>
        </w:rPr>
      </w:pPr>
    </w:p>
    <w:p w14:paraId="0462CF54">
      <w:pPr>
        <w:pStyle w:val="25"/>
        <w:spacing w:line="500" w:lineRule="exact"/>
        <w:ind w:firstLine="560" w:firstLineChars="200"/>
        <w:rPr>
          <w:rFonts w:ascii="楷体_GB2312" w:eastAsia="楷体_GB2312"/>
          <w:sz w:val="28"/>
        </w:rPr>
      </w:pPr>
    </w:p>
    <w:p w14:paraId="0D99C71F">
      <w:pPr>
        <w:pStyle w:val="25"/>
        <w:spacing w:line="500" w:lineRule="exact"/>
        <w:ind w:firstLine="560" w:firstLineChars="200"/>
        <w:rPr>
          <w:rFonts w:ascii="楷体_GB2312" w:eastAsia="楷体_GB2312"/>
          <w:sz w:val="28"/>
        </w:rPr>
      </w:pPr>
    </w:p>
    <w:p w14:paraId="2EC0D488">
      <w:pPr>
        <w:pStyle w:val="25"/>
        <w:spacing w:line="500" w:lineRule="exact"/>
        <w:ind w:firstLine="560" w:firstLineChars="200"/>
        <w:rPr>
          <w:rFonts w:ascii="楷体_GB2312" w:eastAsia="楷体_GB2312"/>
          <w:sz w:val="28"/>
        </w:rPr>
      </w:pPr>
    </w:p>
    <w:p w14:paraId="6FF6082D">
      <w:pPr>
        <w:pStyle w:val="25"/>
        <w:spacing w:line="500" w:lineRule="exact"/>
        <w:ind w:firstLine="560" w:firstLineChars="200"/>
        <w:rPr>
          <w:rFonts w:ascii="楷体_GB2312" w:eastAsia="楷体_GB2312"/>
          <w:sz w:val="28"/>
        </w:rPr>
      </w:pPr>
    </w:p>
    <w:p w14:paraId="6BB371AA">
      <w:pPr>
        <w:pStyle w:val="25"/>
        <w:spacing w:line="500" w:lineRule="exact"/>
        <w:ind w:firstLine="560" w:firstLineChars="200"/>
        <w:rPr>
          <w:rFonts w:ascii="楷体_GB2312" w:eastAsia="楷体_GB2312"/>
          <w:sz w:val="28"/>
        </w:rPr>
      </w:pPr>
    </w:p>
    <w:p w14:paraId="3BABD26F">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8"/>
              <w:adjustRightInd w:val="0"/>
              <w:snapToGrid w:val="0"/>
              <w:spacing w:line="500" w:lineRule="exact"/>
              <w:jc w:val="center"/>
              <w:rPr>
                <w:rFonts w:ascii="宋体" w:hAnsi="宋体"/>
                <w:szCs w:val="28"/>
              </w:rPr>
            </w:pPr>
          </w:p>
          <w:p w14:paraId="217262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5DC01FC">
            <w:pPr>
              <w:pStyle w:val="28"/>
              <w:adjustRightInd w:val="0"/>
              <w:snapToGrid w:val="0"/>
              <w:spacing w:line="500" w:lineRule="exact"/>
              <w:jc w:val="center"/>
              <w:rPr>
                <w:rFonts w:ascii="宋体" w:hAnsi="宋体"/>
                <w:szCs w:val="28"/>
              </w:rPr>
            </w:pPr>
          </w:p>
        </w:tc>
      </w:tr>
    </w:tbl>
    <w:p w14:paraId="1C19B92E">
      <w:pPr>
        <w:pStyle w:val="28"/>
        <w:adjustRightInd w:val="0"/>
        <w:snapToGrid w:val="0"/>
        <w:spacing w:line="500" w:lineRule="exact"/>
        <w:rPr>
          <w:rFonts w:ascii="宋体" w:hAnsi="宋体"/>
          <w:szCs w:val="28"/>
        </w:rPr>
      </w:pPr>
    </w:p>
    <w:p w14:paraId="3AF518E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2BB41D3B">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7"/>
      </w:pPr>
      <w:r>
        <w:rPr>
          <w:rFonts w:hint="eastAsia"/>
        </w:rPr>
        <w:t xml:space="preserve">单位负责人资格证明文件 </w:t>
      </w:r>
    </w:p>
    <w:p w14:paraId="3B149421">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8"/>
              <w:adjustRightInd w:val="0"/>
              <w:snapToGrid w:val="0"/>
              <w:spacing w:line="500" w:lineRule="exact"/>
              <w:jc w:val="center"/>
              <w:rPr>
                <w:rFonts w:ascii="宋体" w:hAnsi="宋体"/>
                <w:szCs w:val="28"/>
              </w:rPr>
            </w:pPr>
          </w:p>
          <w:p w14:paraId="3261A0E5">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1D780C89">
            <w:pPr>
              <w:pStyle w:val="28"/>
              <w:adjustRightInd w:val="0"/>
              <w:snapToGrid w:val="0"/>
              <w:spacing w:line="500" w:lineRule="exact"/>
              <w:jc w:val="center"/>
              <w:rPr>
                <w:rFonts w:ascii="宋体" w:hAnsi="宋体"/>
                <w:szCs w:val="28"/>
              </w:rPr>
            </w:pPr>
          </w:p>
        </w:tc>
      </w:tr>
    </w:tbl>
    <w:p w14:paraId="65CCBD63">
      <w:pPr>
        <w:pStyle w:val="28"/>
        <w:adjustRightInd w:val="0"/>
        <w:snapToGrid w:val="0"/>
        <w:spacing w:line="500" w:lineRule="exact"/>
        <w:rPr>
          <w:rFonts w:ascii="宋体" w:hAnsi="宋体"/>
          <w:szCs w:val="28"/>
        </w:rPr>
      </w:pPr>
    </w:p>
    <w:p w14:paraId="0A5723D0">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2C2155B9">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7"/>
      </w:pPr>
      <w:r>
        <w:rPr>
          <w:rFonts w:hint="eastAsia"/>
        </w:rPr>
        <w:t xml:space="preserve">自然人资格证明文件 </w:t>
      </w:r>
    </w:p>
    <w:p w14:paraId="0A0850A4">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8"/>
              <w:adjustRightInd w:val="0"/>
              <w:snapToGrid w:val="0"/>
              <w:spacing w:line="500" w:lineRule="exact"/>
              <w:jc w:val="center"/>
              <w:rPr>
                <w:rFonts w:ascii="宋体" w:hAnsi="宋体"/>
                <w:szCs w:val="28"/>
              </w:rPr>
            </w:pPr>
          </w:p>
          <w:p w14:paraId="477A8039">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FDFE7FB">
            <w:pPr>
              <w:pStyle w:val="28"/>
              <w:adjustRightInd w:val="0"/>
              <w:snapToGrid w:val="0"/>
              <w:spacing w:line="500" w:lineRule="exact"/>
              <w:jc w:val="center"/>
              <w:rPr>
                <w:rFonts w:ascii="宋体" w:hAnsi="宋体"/>
                <w:szCs w:val="28"/>
              </w:rPr>
            </w:pPr>
          </w:p>
        </w:tc>
      </w:tr>
    </w:tbl>
    <w:p w14:paraId="532D9522">
      <w:pPr>
        <w:pStyle w:val="28"/>
        <w:adjustRightInd w:val="0"/>
        <w:snapToGrid w:val="0"/>
        <w:spacing w:line="500" w:lineRule="exact"/>
        <w:ind w:left="0" w:firstLine="0"/>
        <w:rPr>
          <w:rFonts w:ascii="宋体" w:hAnsi="宋体"/>
          <w:szCs w:val="28"/>
        </w:rPr>
      </w:pPr>
    </w:p>
    <w:p w14:paraId="4CBB51D5">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7"/>
        <w:jc w:val="both"/>
        <w:rPr>
          <w:b w:val="0"/>
        </w:rPr>
      </w:pPr>
    </w:p>
    <w:p w14:paraId="2B33FCED">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7"/>
      </w:pPr>
      <w:r>
        <w:rPr>
          <w:rFonts w:hint="eastAsia"/>
        </w:rPr>
        <w:t>授权委托书</w:t>
      </w:r>
    </w:p>
    <w:p w14:paraId="37D35CA7">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8"/>
        <w:spacing w:before="0" w:after="0" w:line="240" w:lineRule="auto"/>
        <w:ind w:left="0" w:firstLine="0"/>
        <w:rPr>
          <w:rFonts w:ascii="宋体" w:hAnsi="宋体"/>
          <w:szCs w:val="28"/>
        </w:rPr>
      </w:pPr>
      <w:r>
        <w:rPr>
          <w:rFonts w:hint="eastAsia" w:ascii="宋体" w:hAnsi="宋体"/>
          <w:szCs w:val="28"/>
        </w:rPr>
        <w:t>附：</w:t>
      </w:r>
    </w:p>
    <w:p w14:paraId="0D7733A2">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8"/>
              <w:spacing w:line="500" w:lineRule="exact"/>
              <w:rPr>
                <w:rFonts w:ascii="宋体" w:hAnsi="宋体"/>
                <w:szCs w:val="28"/>
              </w:rPr>
            </w:pPr>
            <w:r>
              <w:rPr>
                <w:rFonts w:hint="eastAsia" w:ascii="宋体" w:hAnsi="宋体"/>
                <w:szCs w:val="28"/>
              </w:rPr>
              <w:t>粘贴被授权人身份证（扫描件）</w:t>
            </w:r>
          </w:p>
          <w:p w14:paraId="2035F986">
            <w:pPr>
              <w:pStyle w:val="28"/>
              <w:spacing w:line="500" w:lineRule="exact"/>
              <w:rPr>
                <w:rFonts w:ascii="宋体" w:hAnsi="宋体"/>
                <w:szCs w:val="28"/>
              </w:rPr>
            </w:pPr>
          </w:p>
        </w:tc>
      </w:tr>
    </w:tbl>
    <w:p w14:paraId="5D83FE8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8"/>
        <w:spacing w:before="0" w:after="0" w:line="240" w:lineRule="auto"/>
        <w:ind w:left="1070" w:hanging="1069" w:hangingChars="382"/>
        <w:jc w:val="left"/>
        <w:rPr>
          <w:rFonts w:ascii="宋体" w:hAnsi="宋体"/>
          <w:kern w:val="0"/>
          <w:szCs w:val="28"/>
        </w:rPr>
      </w:pPr>
    </w:p>
    <w:p w14:paraId="6DFD7699">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29"/>
        <w:rPr>
          <w:sz w:val="28"/>
          <w:szCs w:val="28"/>
        </w:rPr>
      </w:pPr>
    </w:p>
    <w:p w14:paraId="25847CDE">
      <w:pPr>
        <w:pStyle w:val="2"/>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E797D"/>
    <w:multiLevelType w:val="singleLevel"/>
    <w:tmpl w:val="55AE79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0A340DC9"/>
    <w:rsid w:val="12A1304F"/>
    <w:rsid w:val="1C2325C8"/>
    <w:rsid w:val="1CE02C42"/>
    <w:rsid w:val="2AB02D3A"/>
    <w:rsid w:val="2FD01593"/>
    <w:rsid w:val="311349B6"/>
    <w:rsid w:val="31D81424"/>
    <w:rsid w:val="457A524E"/>
    <w:rsid w:val="461F4E15"/>
    <w:rsid w:val="5365239F"/>
    <w:rsid w:val="5A622C8C"/>
    <w:rsid w:val="5F856FE6"/>
    <w:rsid w:val="6A834C6A"/>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3965</Words>
  <Characters>4317</Characters>
  <Lines>44</Lines>
  <Paragraphs>12</Paragraphs>
  <TotalTime>3</TotalTime>
  <ScaleCrop>false</ScaleCrop>
  <LinksUpToDate>false</LinksUpToDate>
  <CharactersWithSpaces>5116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2025-03-05T07:24:00Z</cp:lastPrinted>
  <dcterms:modified xsi:type="dcterms:W3CDTF">2025-10-20T02:09:33Z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26B2F507CD54447EA6E9A3FA699CB7F1_13</vt:lpwstr>
  </property>
  <property fmtid="{D5CDD505-2E9C-101B-9397-08002B2CF9AE}" pid="4" name="KSOTemplateDocerSaveRecord">
    <vt:lpwstr>eyJoZGlkIjoiMTBkMmQ2NWZjYmQ2NDVlNjQwNTJiZGY0Y2MxNzhkMDgifQ==</vt:lpwstr>
  </property>
</Properties>
</file>